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2C232">
      <w:pPr>
        <w:spacing w:after="936" w:afterLines="300" w:line="360" w:lineRule="auto"/>
        <w:ind w:firstLine="726"/>
        <w:jc w:val="center"/>
        <w:rPr>
          <w:rFonts w:hint="eastAsia" w:cs="Times New Roman"/>
          <w:b/>
          <w:bCs/>
          <w:caps/>
          <w:spacing w:val="20"/>
          <w:sz w:val="21"/>
          <w:szCs w:val="21"/>
          <w:lang w:eastAsia="zh-CN"/>
        </w:rPr>
      </w:pPr>
      <w:bookmarkStart w:id="0" w:name="_Hlk21674709"/>
      <w:bookmarkEnd w:id="0"/>
      <w:bookmarkStart w:id="1" w:name="_Toc523987724"/>
      <w:bookmarkStart w:id="2" w:name="_Toc26328"/>
      <w:bookmarkStart w:id="3" w:name="_Toc16983"/>
      <w:bookmarkStart w:id="48" w:name="_GoBack"/>
      <w:bookmarkEnd w:id="48"/>
      <w:r>
        <w:rPr>
          <w:rFonts w:hint="eastAsia"/>
          <w:b/>
          <w:bCs/>
          <w:caps/>
          <w:spacing w:val="20"/>
          <w:sz w:val="21"/>
          <w:szCs w:val="21"/>
          <w:lang w:eastAsia="zh-CN"/>
        </w:rPr>
        <w:t xml:space="preserve">                           </w:t>
      </w:r>
      <w:bookmarkStart w:id="4" w:name="OLE_LINK3"/>
      <w:r>
        <w:rPr>
          <w:rFonts w:hint="eastAsia"/>
          <w:b/>
          <w:bCs/>
          <w:caps/>
          <w:spacing w:val="20"/>
          <w:sz w:val="21"/>
          <w:szCs w:val="21"/>
          <w:lang w:eastAsia="zh-CN"/>
        </w:rPr>
        <w:t xml:space="preserve">   合同编号：</w:t>
      </w:r>
    </w:p>
    <w:p w14:paraId="0050EA0F">
      <w:pPr>
        <w:spacing w:before="1560" w:beforeLines="500" w:after="1872" w:afterLines="600" w:line="360" w:lineRule="auto"/>
        <w:ind w:firstLine="723"/>
        <w:jc w:val="center"/>
        <w:rPr>
          <w:rFonts w:hint="eastAsia"/>
          <w:b/>
          <w:bCs/>
          <w:caps/>
          <w:spacing w:val="20"/>
          <w:sz w:val="32"/>
          <w:szCs w:val="32"/>
          <w:lang w:eastAsia="zh-CN"/>
        </w:rPr>
      </w:pPr>
      <w:r>
        <w:rPr>
          <w:rFonts w:hint="eastAsia"/>
          <w:b/>
          <w:bCs/>
          <w:sz w:val="32"/>
          <w:szCs w:val="32"/>
          <w:lang w:eastAsia="zh-CN"/>
        </w:rPr>
        <w:t>【</w:t>
      </w:r>
      <w:bookmarkStart w:id="5" w:name="_Hlk214371517"/>
      <w:r>
        <w:rPr>
          <w:rFonts w:hint="eastAsia"/>
          <w:b/>
          <w:bCs/>
          <w:sz w:val="32"/>
          <w:szCs w:val="32"/>
          <w:lang w:eastAsia="zh-CN"/>
        </w:rPr>
        <w:t>北苑家园中心项目各业态租售价格及物业费委托评估咨询</w:t>
      </w:r>
      <w:bookmarkEnd w:id="5"/>
      <w:r>
        <w:rPr>
          <w:rFonts w:hint="eastAsia"/>
          <w:b/>
          <w:bCs/>
          <w:sz w:val="32"/>
          <w:szCs w:val="32"/>
          <w:lang w:eastAsia="zh-CN"/>
        </w:rPr>
        <w:t>】</w:t>
      </w:r>
    </w:p>
    <w:p w14:paraId="3B2FF886">
      <w:pPr>
        <w:spacing w:before="1560" w:beforeLines="500" w:after="1872" w:afterLines="600" w:line="360" w:lineRule="auto"/>
        <w:ind w:firstLine="723"/>
        <w:jc w:val="center"/>
        <w:rPr>
          <w:rFonts w:hint="eastAsia"/>
          <w:b/>
          <w:bCs/>
          <w:caps/>
          <w:spacing w:val="20"/>
          <w:sz w:val="32"/>
          <w:szCs w:val="32"/>
          <w:lang w:eastAsia="zh-CN"/>
        </w:rPr>
      </w:pPr>
      <w:r>
        <w:rPr>
          <w:rFonts w:hint="eastAsia"/>
          <w:b/>
          <w:bCs/>
          <w:caps/>
          <w:spacing w:val="20"/>
          <w:sz w:val="32"/>
          <w:szCs w:val="32"/>
          <w:lang w:eastAsia="zh-CN"/>
        </w:rPr>
        <w:t>项目咨询协议</w:t>
      </w:r>
    </w:p>
    <w:p w14:paraId="3A5DF390">
      <w:pPr>
        <w:spacing w:line="360" w:lineRule="auto"/>
        <w:ind w:firstLine="640"/>
        <w:rPr>
          <w:rFonts w:hint="eastAsia"/>
          <w:sz w:val="32"/>
          <w:szCs w:val="32"/>
          <w:lang w:eastAsia="zh-CN"/>
        </w:rPr>
      </w:pPr>
      <w:r>
        <w:rPr>
          <w:rFonts w:hint="eastAsia"/>
          <w:sz w:val="32"/>
          <w:szCs w:val="32"/>
          <w:lang w:eastAsia="zh-CN"/>
        </w:rPr>
        <w:t>甲方：北京通投兴苑置业有限公司</w:t>
      </w:r>
    </w:p>
    <w:p w14:paraId="4155BD18">
      <w:pPr>
        <w:spacing w:line="360" w:lineRule="auto"/>
        <w:ind w:firstLine="640" w:firstLineChars="200"/>
        <w:rPr>
          <w:rFonts w:hint="eastAsia"/>
          <w:sz w:val="32"/>
          <w:szCs w:val="32"/>
          <w:lang w:eastAsia="zh-CN"/>
        </w:rPr>
      </w:pPr>
      <w:r>
        <w:rPr>
          <w:rFonts w:hint="eastAsia"/>
          <w:sz w:val="32"/>
          <w:szCs w:val="32"/>
          <w:lang w:eastAsia="zh-CN"/>
        </w:rPr>
        <w:t>乙方：北京康正宏基房地产评估有限公司</w:t>
      </w:r>
    </w:p>
    <w:p w14:paraId="11441D22">
      <w:pPr>
        <w:spacing w:line="360" w:lineRule="auto"/>
        <w:ind w:firstLine="560"/>
        <w:rPr>
          <w:rFonts w:hint="eastAsia" w:cs="Times New Roman"/>
          <w:lang w:eastAsia="zh-CN"/>
        </w:rPr>
        <w:sectPr>
          <w:pgSz w:w="11906" w:h="16838"/>
          <w:pgMar w:top="1440" w:right="1644" w:bottom="1440" w:left="1758" w:header="720" w:footer="720" w:gutter="0"/>
          <w:cols w:space="720" w:num="1"/>
          <w:docGrid w:type="lines" w:linePitch="312" w:charSpace="0"/>
        </w:sectPr>
      </w:pPr>
      <w:r>
        <w:rPr>
          <w:rFonts w:hint="eastAsia"/>
          <w:sz w:val="32"/>
          <w:szCs w:val="32"/>
          <w:lang w:eastAsia="zh-CN"/>
        </w:rPr>
        <w:t>签订时间：2025 年 12 月   日</w:t>
      </w:r>
    </w:p>
    <w:p w14:paraId="7D1E6BE7">
      <w:pPr>
        <w:widowControl/>
        <w:tabs>
          <w:tab w:val="left" w:pos="440"/>
          <w:tab w:val="right" w:leader="dot" w:pos="8494"/>
        </w:tabs>
        <w:autoSpaceDE/>
        <w:autoSpaceDN/>
        <w:spacing w:after="100" w:line="360" w:lineRule="auto"/>
        <w:jc w:val="center"/>
        <w:rPr>
          <w:rFonts w:hint="eastAsia" w:cs="Times New Roman"/>
          <w:sz w:val="24"/>
          <w:lang w:eastAsia="zh-CN"/>
        </w:rPr>
      </w:pPr>
      <w:bookmarkStart w:id="6" w:name="OLE_LINK7"/>
      <w:bookmarkEnd w:id="6"/>
      <w:r>
        <w:rPr>
          <w:rFonts w:hint="eastAsia" w:cs="Times New Roman"/>
          <w:sz w:val="24"/>
          <w:lang w:eastAsia="zh-CN"/>
        </w:rPr>
        <w:t>目 录</w:t>
      </w:r>
    </w:p>
    <w:p w14:paraId="131E72DC">
      <w:pPr>
        <w:pStyle w:val="10"/>
        <w:tabs>
          <w:tab w:val="left" w:pos="420"/>
          <w:tab w:val="right" w:leader="dot" w:pos="8296"/>
        </w:tabs>
        <w:rPr>
          <w:rFonts w:asciiTheme="minorHAnsi" w:hAnsiTheme="minorHAnsi" w:eastAsiaTheme="minorEastAsia" w:cstheme="minorBidi"/>
          <w:kern w:val="2"/>
          <w:sz w:val="21"/>
          <w:lang w:eastAsia="zh-CN"/>
        </w:rPr>
      </w:pPr>
      <w:r>
        <w:rPr>
          <w:rFonts w:hint="eastAsia"/>
          <w:kern w:val="2"/>
          <w:sz w:val="24"/>
          <w:szCs w:val="24"/>
          <w:lang w:eastAsia="zh-CN"/>
        </w:rPr>
        <w:fldChar w:fldCharType="begin"/>
      </w:r>
      <w:r>
        <w:rPr>
          <w:rFonts w:hint="eastAsia"/>
          <w:kern w:val="2"/>
          <w:sz w:val="24"/>
          <w:szCs w:val="24"/>
          <w:lang w:eastAsia="zh-CN"/>
        </w:rPr>
        <w:instrText xml:space="preserve">TOC \o "1-1" \h \u </w:instrText>
      </w:r>
      <w:r>
        <w:rPr>
          <w:rFonts w:hint="eastAsia"/>
          <w:kern w:val="2"/>
          <w:sz w:val="24"/>
          <w:szCs w:val="24"/>
          <w:lang w:eastAsia="zh-CN"/>
        </w:rPr>
        <w:fldChar w:fldCharType="separate"/>
      </w:r>
      <w:r>
        <w:fldChar w:fldCharType="begin"/>
      </w:r>
      <w:r>
        <w:instrText xml:space="preserve"> HYPERLINK \l "_Toc34058069" </w:instrText>
      </w:r>
      <w:r>
        <w:fldChar w:fldCharType="separate"/>
      </w:r>
      <w:r>
        <w:rPr>
          <w:rStyle w:val="16"/>
          <w:rFonts w:ascii="Times New Roman" w:hAnsi="Times New Roman" w:eastAsia="楷体" w:cs="Times New Roman"/>
        </w:rPr>
        <w:t>1.</w:t>
      </w:r>
      <w:r>
        <w:rPr>
          <w:rFonts w:asciiTheme="minorHAnsi" w:hAnsiTheme="minorHAnsi" w:eastAsiaTheme="minorEastAsia" w:cstheme="minorBidi"/>
          <w:kern w:val="2"/>
          <w:sz w:val="21"/>
          <w:lang w:eastAsia="zh-CN"/>
        </w:rPr>
        <w:tab/>
      </w:r>
      <w:r>
        <w:rPr>
          <w:rStyle w:val="16"/>
          <w:rFonts w:cs="楷体"/>
        </w:rPr>
        <w:t>咨询内容、形式和要求</w:t>
      </w:r>
      <w:r>
        <w:tab/>
      </w:r>
      <w:r>
        <w:fldChar w:fldCharType="begin"/>
      </w:r>
      <w:r>
        <w:instrText xml:space="preserve"> PAGEREF _Toc34058069 \h </w:instrText>
      </w:r>
      <w:r>
        <w:fldChar w:fldCharType="separate"/>
      </w:r>
      <w:r>
        <w:t>1</w:t>
      </w:r>
      <w:r>
        <w:fldChar w:fldCharType="end"/>
      </w:r>
      <w:r>
        <w:fldChar w:fldCharType="end"/>
      </w:r>
    </w:p>
    <w:p w14:paraId="122911CE">
      <w:pPr>
        <w:pStyle w:val="10"/>
        <w:tabs>
          <w:tab w:val="left" w:pos="420"/>
          <w:tab w:val="right" w:leader="dot" w:pos="8296"/>
        </w:tabs>
        <w:rPr>
          <w:rFonts w:asciiTheme="minorHAnsi" w:hAnsiTheme="minorHAnsi" w:eastAsiaTheme="minorEastAsia" w:cstheme="minorBidi"/>
          <w:kern w:val="2"/>
          <w:sz w:val="21"/>
          <w:lang w:eastAsia="zh-CN"/>
        </w:rPr>
      </w:pPr>
      <w:r>
        <w:fldChar w:fldCharType="begin"/>
      </w:r>
      <w:r>
        <w:instrText xml:space="preserve"> HYPERLINK \l "_Toc34058070" </w:instrText>
      </w:r>
      <w:r>
        <w:fldChar w:fldCharType="separate"/>
      </w:r>
      <w:r>
        <w:rPr>
          <w:rStyle w:val="16"/>
          <w:rFonts w:ascii="Times New Roman" w:hAnsi="Times New Roman" w:eastAsia="楷体" w:cs="Times New Roman"/>
        </w:rPr>
        <w:t>2.</w:t>
      </w:r>
      <w:r>
        <w:rPr>
          <w:rFonts w:asciiTheme="minorHAnsi" w:hAnsiTheme="minorHAnsi" w:eastAsiaTheme="minorEastAsia" w:cstheme="minorBidi"/>
          <w:kern w:val="2"/>
          <w:sz w:val="21"/>
          <w:lang w:eastAsia="zh-CN"/>
        </w:rPr>
        <w:tab/>
      </w:r>
      <w:r>
        <w:rPr>
          <w:rStyle w:val="16"/>
          <w:rFonts w:cs="楷体"/>
        </w:rPr>
        <w:t>双方责任义务</w:t>
      </w:r>
      <w:r>
        <w:tab/>
      </w:r>
      <w:r>
        <w:fldChar w:fldCharType="begin"/>
      </w:r>
      <w:r>
        <w:instrText xml:space="preserve"> PAGEREF _Toc34058070 \h </w:instrText>
      </w:r>
      <w:r>
        <w:fldChar w:fldCharType="separate"/>
      </w:r>
      <w:r>
        <w:t>4</w:t>
      </w:r>
      <w:r>
        <w:fldChar w:fldCharType="end"/>
      </w:r>
      <w:r>
        <w:fldChar w:fldCharType="end"/>
      </w:r>
    </w:p>
    <w:p w14:paraId="4C9CC1EF">
      <w:pPr>
        <w:pStyle w:val="10"/>
        <w:tabs>
          <w:tab w:val="left" w:pos="420"/>
          <w:tab w:val="right" w:leader="dot" w:pos="8296"/>
        </w:tabs>
        <w:rPr>
          <w:rFonts w:asciiTheme="minorHAnsi" w:hAnsiTheme="minorHAnsi" w:eastAsiaTheme="minorEastAsia" w:cstheme="minorBidi"/>
          <w:kern w:val="2"/>
          <w:sz w:val="21"/>
          <w:lang w:eastAsia="zh-CN"/>
        </w:rPr>
      </w:pPr>
      <w:r>
        <w:fldChar w:fldCharType="begin"/>
      </w:r>
      <w:r>
        <w:instrText xml:space="preserve"> HYPERLINK \l "_Toc34058071" </w:instrText>
      </w:r>
      <w:r>
        <w:fldChar w:fldCharType="separate"/>
      </w:r>
      <w:r>
        <w:rPr>
          <w:rStyle w:val="16"/>
          <w:rFonts w:ascii="Times New Roman" w:hAnsi="Times New Roman" w:eastAsia="楷体" w:cs="Times New Roman"/>
        </w:rPr>
        <w:t>3.</w:t>
      </w:r>
      <w:r>
        <w:rPr>
          <w:rFonts w:asciiTheme="minorHAnsi" w:hAnsiTheme="minorHAnsi" w:eastAsiaTheme="minorEastAsia" w:cstheme="minorBidi"/>
          <w:kern w:val="2"/>
          <w:sz w:val="21"/>
          <w:lang w:eastAsia="zh-CN"/>
        </w:rPr>
        <w:tab/>
      </w:r>
      <w:r>
        <w:rPr>
          <w:rStyle w:val="16"/>
          <w:rFonts w:cs="楷体"/>
        </w:rPr>
        <w:t>服务费用及结算方式</w:t>
      </w:r>
      <w:r>
        <w:tab/>
      </w:r>
      <w:r>
        <w:fldChar w:fldCharType="begin"/>
      </w:r>
      <w:r>
        <w:instrText xml:space="preserve"> PAGEREF _Toc34058071 \h </w:instrText>
      </w:r>
      <w:r>
        <w:fldChar w:fldCharType="separate"/>
      </w:r>
      <w:r>
        <w:t>5</w:t>
      </w:r>
      <w:r>
        <w:fldChar w:fldCharType="end"/>
      </w:r>
      <w:r>
        <w:fldChar w:fldCharType="end"/>
      </w:r>
    </w:p>
    <w:p w14:paraId="34C8CD35">
      <w:pPr>
        <w:pStyle w:val="10"/>
        <w:tabs>
          <w:tab w:val="left" w:pos="420"/>
          <w:tab w:val="right" w:leader="dot" w:pos="8296"/>
        </w:tabs>
        <w:rPr>
          <w:rFonts w:asciiTheme="minorHAnsi" w:hAnsiTheme="minorHAnsi" w:eastAsiaTheme="minorEastAsia" w:cstheme="minorBidi"/>
          <w:kern w:val="2"/>
          <w:sz w:val="21"/>
          <w:lang w:eastAsia="zh-CN"/>
        </w:rPr>
      </w:pPr>
      <w:r>
        <w:fldChar w:fldCharType="begin"/>
      </w:r>
      <w:r>
        <w:instrText xml:space="preserve"> HYPERLINK \l "_Toc34058072" </w:instrText>
      </w:r>
      <w:r>
        <w:fldChar w:fldCharType="separate"/>
      </w:r>
      <w:r>
        <w:rPr>
          <w:rStyle w:val="16"/>
          <w:rFonts w:ascii="Times New Roman" w:hAnsi="Times New Roman" w:eastAsia="楷体" w:cs="Times New Roman"/>
        </w:rPr>
        <w:t>4.</w:t>
      </w:r>
      <w:r>
        <w:rPr>
          <w:rFonts w:asciiTheme="minorHAnsi" w:hAnsiTheme="minorHAnsi" w:eastAsiaTheme="minorEastAsia" w:cstheme="minorBidi"/>
          <w:kern w:val="2"/>
          <w:sz w:val="21"/>
          <w:lang w:eastAsia="zh-CN"/>
        </w:rPr>
        <w:tab/>
      </w:r>
      <w:r>
        <w:rPr>
          <w:rStyle w:val="16"/>
          <w:rFonts w:cs="楷体"/>
        </w:rPr>
        <w:t>保密</w:t>
      </w:r>
      <w:r>
        <w:tab/>
      </w:r>
      <w:r>
        <w:fldChar w:fldCharType="begin"/>
      </w:r>
      <w:r>
        <w:instrText xml:space="preserve"> PAGEREF _Toc34058072 \h </w:instrText>
      </w:r>
      <w:r>
        <w:fldChar w:fldCharType="separate"/>
      </w:r>
      <w:r>
        <w:t>6</w:t>
      </w:r>
      <w:r>
        <w:fldChar w:fldCharType="end"/>
      </w:r>
      <w:r>
        <w:fldChar w:fldCharType="end"/>
      </w:r>
    </w:p>
    <w:p w14:paraId="16754CDD">
      <w:pPr>
        <w:pStyle w:val="10"/>
        <w:tabs>
          <w:tab w:val="left" w:pos="420"/>
          <w:tab w:val="right" w:leader="dot" w:pos="8296"/>
        </w:tabs>
        <w:rPr>
          <w:rFonts w:asciiTheme="minorHAnsi" w:hAnsiTheme="minorHAnsi" w:eastAsiaTheme="minorEastAsia" w:cstheme="minorBidi"/>
          <w:kern w:val="2"/>
          <w:sz w:val="21"/>
          <w:lang w:eastAsia="zh-CN"/>
        </w:rPr>
      </w:pPr>
      <w:r>
        <w:fldChar w:fldCharType="begin"/>
      </w:r>
      <w:r>
        <w:instrText xml:space="preserve"> HYPERLINK \l "_Toc34058073" </w:instrText>
      </w:r>
      <w:r>
        <w:fldChar w:fldCharType="separate"/>
      </w:r>
      <w:r>
        <w:rPr>
          <w:rStyle w:val="16"/>
          <w:rFonts w:ascii="Times New Roman" w:hAnsi="Times New Roman" w:eastAsia="楷体" w:cs="Times New Roman"/>
        </w:rPr>
        <w:t>5.</w:t>
      </w:r>
      <w:r>
        <w:rPr>
          <w:rFonts w:asciiTheme="minorHAnsi" w:hAnsiTheme="minorHAnsi" w:eastAsiaTheme="minorEastAsia" w:cstheme="minorBidi"/>
          <w:kern w:val="2"/>
          <w:sz w:val="21"/>
          <w:lang w:eastAsia="zh-CN"/>
        </w:rPr>
        <w:tab/>
      </w:r>
      <w:r>
        <w:rPr>
          <w:rStyle w:val="16"/>
          <w:rFonts w:cs="楷体"/>
        </w:rPr>
        <w:t>知识产权的归属</w:t>
      </w:r>
      <w:r>
        <w:tab/>
      </w:r>
      <w:r>
        <w:fldChar w:fldCharType="begin"/>
      </w:r>
      <w:r>
        <w:instrText xml:space="preserve"> PAGEREF _Toc34058073 \h </w:instrText>
      </w:r>
      <w:r>
        <w:fldChar w:fldCharType="separate"/>
      </w:r>
      <w:r>
        <w:t>7</w:t>
      </w:r>
      <w:r>
        <w:fldChar w:fldCharType="end"/>
      </w:r>
      <w:r>
        <w:fldChar w:fldCharType="end"/>
      </w:r>
    </w:p>
    <w:p w14:paraId="2D126F43">
      <w:pPr>
        <w:pStyle w:val="10"/>
        <w:tabs>
          <w:tab w:val="left" w:pos="420"/>
          <w:tab w:val="right" w:leader="dot" w:pos="8296"/>
        </w:tabs>
        <w:rPr>
          <w:rFonts w:asciiTheme="minorHAnsi" w:hAnsiTheme="minorHAnsi" w:eastAsiaTheme="minorEastAsia" w:cstheme="minorBidi"/>
          <w:kern w:val="2"/>
          <w:sz w:val="21"/>
          <w:lang w:eastAsia="zh-CN"/>
        </w:rPr>
      </w:pPr>
      <w:r>
        <w:fldChar w:fldCharType="begin"/>
      </w:r>
      <w:r>
        <w:instrText xml:space="preserve"> HYPERLINK \l "_Toc34058074" </w:instrText>
      </w:r>
      <w:r>
        <w:fldChar w:fldCharType="separate"/>
      </w:r>
      <w:r>
        <w:rPr>
          <w:rStyle w:val="16"/>
          <w:rFonts w:ascii="Times New Roman" w:hAnsi="Times New Roman" w:eastAsia="楷体" w:cs="Times New Roman"/>
        </w:rPr>
        <w:t>6.</w:t>
      </w:r>
      <w:r>
        <w:rPr>
          <w:rFonts w:asciiTheme="minorHAnsi" w:hAnsiTheme="minorHAnsi" w:eastAsiaTheme="minorEastAsia" w:cstheme="minorBidi"/>
          <w:kern w:val="2"/>
          <w:sz w:val="21"/>
          <w:lang w:eastAsia="zh-CN"/>
        </w:rPr>
        <w:tab/>
      </w:r>
      <w:r>
        <w:rPr>
          <w:rStyle w:val="16"/>
          <w:rFonts w:cs="楷体"/>
        </w:rPr>
        <w:t>违约责任</w:t>
      </w:r>
      <w:r>
        <w:tab/>
      </w:r>
      <w:r>
        <w:fldChar w:fldCharType="begin"/>
      </w:r>
      <w:r>
        <w:instrText xml:space="preserve"> PAGEREF _Toc34058074 \h </w:instrText>
      </w:r>
      <w:r>
        <w:fldChar w:fldCharType="separate"/>
      </w:r>
      <w:r>
        <w:t>7</w:t>
      </w:r>
      <w:r>
        <w:fldChar w:fldCharType="end"/>
      </w:r>
      <w:r>
        <w:fldChar w:fldCharType="end"/>
      </w:r>
    </w:p>
    <w:p w14:paraId="374320ED">
      <w:pPr>
        <w:pStyle w:val="10"/>
        <w:tabs>
          <w:tab w:val="left" w:pos="420"/>
          <w:tab w:val="right" w:leader="dot" w:pos="8296"/>
        </w:tabs>
        <w:rPr>
          <w:rFonts w:asciiTheme="minorHAnsi" w:hAnsiTheme="minorHAnsi" w:eastAsiaTheme="minorEastAsia" w:cstheme="minorBidi"/>
          <w:kern w:val="2"/>
          <w:sz w:val="21"/>
          <w:lang w:eastAsia="zh-CN"/>
        </w:rPr>
      </w:pPr>
      <w:r>
        <w:fldChar w:fldCharType="begin"/>
      </w:r>
      <w:r>
        <w:instrText xml:space="preserve"> HYPERLINK \l "_Toc34058075" </w:instrText>
      </w:r>
      <w:r>
        <w:fldChar w:fldCharType="separate"/>
      </w:r>
      <w:r>
        <w:rPr>
          <w:rStyle w:val="16"/>
          <w:rFonts w:ascii="Times New Roman" w:hAnsi="Times New Roman" w:eastAsia="楷体" w:cs="Times New Roman"/>
        </w:rPr>
        <w:t>7.</w:t>
      </w:r>
      <w:r>
        <w:rPr>
          <w:rFonts w:asciiTheme="minorHAnsi" w:hAnsiTheme="minorHAnsi" w:eastAsiaTheme="minorEastAsia" w:cstheme="minorBidi"/>
          <w:kern w:val="2"/>
          <w:sz w:val="21"/>
          <w:lang w:eastAsia="zh-CN"/>
        </w:rPr>
        <w:tab/>
      </w:r>
      <w:r>
        <w:rPr>
          <w:rStyle w:val="16"/>
          <w:rFonts w:cs="楷体"/>
        </w:rPr>
        <w:t>协议终止、解除</w:t>
      </w:r>
      <w:r>
        <w:tab/>
      </w:r>
      <w:r>
        <w:fldChar w:fldCharType="begin"/>
      </w:r>
      <w:r>
        <w:instrText xml:space="preserve"> PAGEREF _Toc34058075 \h </w:instrText>
      </w:r>
      <w:r>
        <w:fldChar w:fldCharType="separate"/>
      </w:r>
      <w:r>
        <w:t>8</w:t>
      </w:r>
      <w:r>
        <w:fldChar w:fldCharType="end"/>
      </w:r>
      <w:r>
        <w:fldChar w:fldCharType="end"/>
      </w:r>
    </w:p>
    <w:p w14:paraId="2552F7CB">
      <w:pPr>
        <w:pStyle w:val="10"/>
        <w:tabs>
          <w:tab w:val="left" w:pos="420"/>
          <w:tab w:val="right" w:leader="dot" w:pos="8296"/>
        </w:tabs>
        <w:rPr>
          <w:rFonts w:asciiTheme="minorHAnsi" w:hAnsiTheme="minorHAnsi" w:eastAsiaTheme="minorEastAsia" w:cstheme="minorBidi"/>
          <w:kern w:val="2"/>
          <w:sz w:val="21"/>
          <w:lang w:eastAsia="zh-CN"/>
        </w:rPr>
      </w:pPr>
      <w:r>
        <w:fldChar w:fldCharType="begin"/>
      </w:r>
      <w:r>
        <w:instrText xml:space="preserve"> HYPERLINK \l "_Toc34058076" </w:instrText>
      </w:r>
      <w:r>
        <w:fldChar w:fldCharType="separate"/>
      </w:r>
      <w:r>
        <w:rPr>
          <w:rStyle w:val="16"/>
          <w:rFonts w:ascii="Times New Roman" w:hAnsi="Times New Roman" w:eastAsia="楷体" w:cs="Times New Roman"/>
        </w:rPr>
        <w:t>8.</w:t>
      </w:r>
      <w:r>
        <w:rPr>
          <w:rFonts w:asciiTheme="minorHAnsi" w:hAnsiTheme="minorHAnsi" w:eastAsiaTheme="minorEastAsia" w:cstheme="minorBidi"/>
          <w:kern w:val="2"/>
          <w:sz w:val="21"/>
          <w:lang w:eastAsia="zh-CN"/>
        </w:rPr>
        <w:tab/>
      </w:r>
      <w:r>
        <w:rPr>
          <w:rStyle w:val="16"/>
          <w:rFonts w:cs="楷体"/>
        </w:rPr>
        <w:t>通知与送达</w:t>
      </w:r>
      <w:r>
        <w:tab/>
      </w:r>
      <w:r>
        <w:fldChar w:fldCharType="begin"/>
      </w:r>
      <w:r>
        <w:instrText xml:space="preserve"> PAGEREF _Toc34058076 \h </w:instrText>
      </w:r>
      <w:r>
        <w:fldChar w:fldCharType="separate"/>
      </w:r>
      <w:r>
        <w:t>9</w:t>
      </w:r>
      <w:r>
        <w:fldChar w:fldCharType="end"/>
      </w:r>
      <w:r>
        <w:fldChar w:fldCharType="end"/>
      </w:r>
    </w:p>
    <w:p w14:paraId="7AF8FC76">
      <w:pPr>
        <w:pStyle w:val="10"/>
        <w:tabs>
          <w:tab w:val="left" w:pos="420"/>
          <w:tab w:val="right" w:leader="dot" w:pos="8296"/>
        </w:tabs>
        <w:rPr>
          <w:rFonts w:asciiTheme="minorHAnsi" w:hAnsiTheme="minorHAnsi" w:eastAsiaTheme="minorEastAsia" w:cstheme="minorBidi"/>
          <w:kern w:val="2"/>
          <w:sz w:val="21"/>
          <w:lang w:eastAsia="zh-CN"/>
        </w:rPr>
      </w:pPr>
      <w:r>
        <w:fldChar w:fldCharType="begin"/>
      </w:r>
      <w:r>
        <w:instrText xml:space="preserve"> HYPERLINK \l "_Toc34058077" </w:instrText>
      </w:r>
      <w:r>
        <w:fldChar w:fldCharType="separate"/>
      </w:r>
      <w:r>
        <w:rPr>
          <w:rStyle w:val="16"/>
          <w:rFonts w:ascii="Times New Roman" w:hAnsi="Times New Roman" w:eastAsia="楷体" w:cs="Times New Roman"/>
        </w:rPr>
        <w:t>9.</w:t>
      </w:r>
      <w:r>
        <w:rPr>
          <w:rFonts w:asciiTheme="minorHAnsi" w:hAnsiTheme="minorHAnsi" w:eastAsiaTheme="minorEastAsia" w:cstheme="minorBidi"/>
          <w:kern w:val="2"/>
          <w:sz w:val="21"/>
          <w:lang w:eastAsia="zh-CN"/>
        </w:rPr>
        <w:tab/>
      </w:r>
      <w:r>
        <w:rPr>
          <w:rStyle w:val="16"/>
          <w:rFonts w:cs="楷体"/>
        </w:rPr>
        <w:t>生效条款</w:t>
      </w:r>
      <w:r>
        <w:tab/>
      </w:r>
      <w:r>
        <w:fldChar w:fldCharType="begin"/>
      </w:r>
      <w:r>
        <w:instrText xml:space="preserve"> PAGEREF _Toc34058077 \h </w:instrText>
      </w:r>
      <w:r>
        <w:fldChar w:fldCharType="separate"/>
      </w:r>
      <w:r>
        <w:t>10</w:t>
      </w:r>
      <w:r>
        <w:fldChar w:fldCharType="end"/>
      </w:r>
      <w:r>
        <w:fldChar w:fldCharType="end"/>
      </w:r>
    </w:p>
    <w:p w14:paraId="3CFA3347">
      <w:pPr>
        <w:pStyle w:val="10"/>
        <w:tabs>
          <w:tab w:val="left" w:pos="630"/>
          <w:tab w:val="right" w:leader="dot" w:pos="8296"/>
        </w:tabs>
        <w:rPr>
          <w:rFonts w:asciiTheme="minorHAnsi" w:hAnsiTheme="minorHAnsi" w:eastAsiaTheme="minorEastAsia" w:cstheme="minorBidi"/>
          <w:kern w:val="2"/>
          <w:sz w:val="21"/>
          <w:lang w:eastAsia="zh-CN"/>
        </w:rPr>
      </w:pPr>
      <w:r>
        <w:fldChar w:fldCharType="begin"/>
      </w:r>
      <w:r>
        <w:instrText xml:space="preserve"> HYPERLINK \l "_Toc34058078" </w:instrText>
      </w:r>
      <w:r>
        <w:fldChar w:fldCharType="separate"/>
      </w:r>
      <w:r>
        <w:rPr>
          <w:rStyle w:val="16"/>
          <w:rFonts w:ascii="Times New Roman" w:hAnsi="Times New Roman" w:eastAsia="楷体" w:cs="Times New Roman"/>
        </w:rPr>
        <w:t>10.</w:t>
      </w:r>
      <w:r>
        <w:rPr>
          <w:rFonts w:asciiTheme="minorHAnsi" w:hAnsiTheme="minorHAnsi" w:eastAsiaTheme="minorEastAsia" w:cstheme="minorBidi"/>
          <w:kern w:val="2"/>
          <w:sz w:val="21"/>
          <w:lang w:eastAsia="zh-CN"/>
        </w:rPr>
        <w:tab/>
      </w:r>
      <w:r>
        <w:rPr>
          <w:rStyle w:val="16"/>
          <w:rFonts w:cs="楷体"/>
        </w:rPr>
        <w:t>法律适用与争议解决</w:t>
      </w:r>
      <w:r>
        <w:tab/>
      </w:r>
      <w:r>
        <w:fldChar w:fldCharType="begin"/>
      </w:r>
      <w:r>
        <w:instrText xml:space="preserve"> PAGEREF _Toc34058078 \h </w:instrText>
      </w:r>
      <w:r>
        <w:fldChar w:fldCharType="separate"/>
      </w:r>
      <w:r>
        <w:t>10</w:t>
      </w:r>
      <w:r>
        <w:fldChar w:fldCharType="end"/>
      </w:r>
      <w:r>
        <w:fldChar w:fldCharType="end"/>
      </w:r>
    </w:p>
    <w:p w14:paraId="658E00BC">
      <w:pPr>
        <w:pStyle w:val="10"/>
        <w:tabs>
          <w:tab w:val="left" w:pos="630"/>
          <w:tab w:val="right" w:leader="dot" w:pos="8296"/>
        </w:tabs>
        <w:rPr>
          <w:rFonts w:asciiTheme="minorHAnsi" w:hAnsiTheme="minorHAnsi" w:eastAsiaTheme="minorEastAsia" w:cstheme="minorBidi"/>
          <w:kern w:val="2"/>
          <w:sz w:val="21"/>
          <w:lang w:eastAsia="zh-CN"/>
        </w:rPr>
      </w:pPr>
      <w:r>
        <w:fldChar w:fldCharType="begin"/>
      </w:r>
      <w:r>
        <w:instrText xml:space="preserve"> HYPERLINK \l "_Toc34058079" </w:instrText>
      </w:r>
      <w:r>
        <w:fldChar w:fldCharType="separate"/>
      </w:r>
      <w:r>
        <w:rPr>
          <w:rStyle w:val="16"/>
          <w:rFonts w:ascii="Times New Roman" w:hAnsi="Times New Roman" w:eastAsia="楷体" w:cs="Times New Roman"/>
        </w:rPr>
        <w:t>11.</w:t>
      </w:r>
      <w:r>
        <w:rPr>
          <w:rFonts w:asciiTheme="minorHAnsi" w:hAnsiTheme="minorHAnsi" w:eastAsiaTheme="minorEastAsia" w:cstheme="minorBidi"/>
          <w:kern w:val="2"/>
          <w:sz w:val="21"/>
          <w:lang w:eastAsia="zh-CN"/>
        </w:rPr>
        <w:tab/>
      </w:r>
      <w:r>
        <w:rPr>
          <w:rStyle w:val="16"/>
          <w:rFonts w:cs="楷体"/>
        </w:rPr>
        <w:t>其他</w:t>
      </w:r>
      <w:r>
        <w:tab/>
      </w:r>
      <w:r>
        <w:fldChar w:fldCharType="begin"/>
      </w:r>
      <w:r>
        <w:instrText xml:space="preserve"> PAGEREF _Toc34058079 \h </w:instrText>
      </w:r>
      <w:r>
        <w:fldChar w:fldCharType="separate"/>
      </w:r>
      <w:r>
        <w:t>11</w:t>
      </w:r>
      <w:r>
        <w:fldChar w:fldCharType="end"/>
      </w:r>
      <w:r>
        <w:fldChar w:fldCharType="end"/>
      </w:r>
    </w:p>
    <w:p w14:paraId="13BF1340">
      <w:pPr>
        <w:spacing w:line="360" w:lineRule="auto"/>
        <w:ind w:firstLine="480" w:firstLineChars="200"/>
        <w:rPr>
          <w:rFonts w:hint="eastAsia" w:cs="Times New Roman"/>
          <w:kern w:val="2"/>
          <w:sz w:val="24"/>
          <w:szCs w:val="24"/>
          <w:lang w:eastAsia="zh-CN"/>
        </w:rPr>
      </w:pPr>
      <w:r>
        <w:rPr>
          <w:rFonts w:hint="eastAsia"/>
          <w:kern w:val="2"/>
          <w:sz w:val="24"/>
          <w:szCs w:val="24"/>
          <w:lang w:eastAsia="zh-CN"/>
        </w:rPr>
        <w:fldChar w:fldCharType="end"/>
      </w:r>
    </w:p>
    <w:p w14:paraId="245247C2">
      <w:pPr>
        <w:spacing w:line="360" w:lineRule="auto"/>
        <w:ind w:firstLine="480" w:firstLineChars="200"/>
        <w:rPr>
          <w:rFonts w:hint="eastAsia" w:cs="楷体"/>
          <w:sz w:val="24"/>
          <w:szCs w:val="24"/>
          <w:lang w:eastAsia="zh-CN"/>
        </w:rPr>
        <w:sectPr>
          <w:footerReference r:id="rId3" w:type="default"/>
          <w:pgSz w:w="11906" w:h="16838"/>
          <w:pgMar w:top="1440" w:right="1800" w:bottom="1440" w:left="1800" w:header="851" w:footer="992" w:gutter="0"/>
          <w:pgNumType w:start="1"/>
          <w:cols w:space="425" w:num="1"/>
          <w:docGrid w:type="lines" w:linePitch="312" w:charSpace="0"/>
        </w:sectPr>
      </w:pPr>
    </w:p>
    <w:p w14:paraId="03979839">
      <w:pPr>
        <w:spacing w:line="360" w:lineRule="auto"/>
        <w:ind w:firstLine="480" w:firstLineChars="200"/>
        <w:rPr>
          <w:rFonts w:hint="eastAsia" w:cs="楷体"/>
          <w:kern w:val="2"/>
          <w:sz w:val="24"/>
          <w:szCs w:val="24"/>
          <w:lang w:eastAsia="zh-CN"/>
        </w:rPr>
      </w:pPr>
      <w:r>
        <w:rPr>
          <w:rFonts w:hint="eastAsia" w:cs="楷体"/>
          <w:sz w:val="24"/>
          <w:szCs w:val="24"/>
          <w:lang w:eastAsia="zh-CN"/>
        </w:rPr>
        <w:t>本《</w:t>
      </w:r>
      <w:r>
        <w:rPr>
          <w:rFonts w:hint="eastAsia" w:cs="楷体"/>
          <w:color w:val="000000"/>
          <w:sz w:val="24"/>
          <w:szCs w:val="24"/>
          <w:u w:val="single"/>
          <w:lang w:eastAsia="zh-CN"/>
        </w:rPr>
        <w:t xml:space="preserve"> 北苑家园中心项目各业态租售价格及物业费委托评估咨询 </w:t>
      </w:r>
      <w:r>
        <w:rPr>
          <w:rFonts w:hint="eastAsia" w:cs="楷体"/>
          <w:color w:val="000000"/>
          <w:sz w:val="24"/>
          <w:szCs w:val="24"/>
          <w:lang w:eastAsia="zh-CN"/>
        </w:rPr>
        <w:t>项目咨询协议</w:t>
      </w:r>
      <w:r>
        <w:rPr>
          <w:rFonts w:hint="eastAsia" w:cs="楷体"/>
          <w:sz w:val="24"/>
          <w:szCs w:val="24"/>
          <w:lang w:eastAsia="zh-CN"/>
        </w:rPr>
        <w:t>》（以下简称“</w:t>
      </w:r>
      <w:r>
        <w:rPr>
          <w:rFonts w:hint="eastAsia" w:cs="楷体"/>
          <w:b/>
          <w:bCs/>
          <w:sz w:val="24"/>
          <w:szCs w:val="24"/>
          <w:lang w:eastAsia="zh-CN"/>
        </w:rPr>
        <w:t>本协议</w:t>
      </w:r>
      <w:r>
        <w:rPr>
          <w:rFonts w:hint="eastAsia" w:cs="楷体"/>
          <w:sz w:val="24"/>
          <w:szCs w:val="24"/>
          <w:lang w:eastAsia="zh-CN"/>
        </w:rPr>
        <w:t>”）由以下主体于【2025】年【12】月【  】日在中华人民共和国（“</w:t>
      </w:r>
      <w:r>
        <w:rPr>
          <w:rFonts w:hint="eastAsia" w:cs="楷体"/>
          <w:b/>
          <w:bCs/>
          <w:sz w:val="24"/>
          <w:szCs w:val="24"/>
          <w:lang w:eastAsia="zh-CN"/>
        </w:rPr>
        <w:t>中国</w:t>
      </w:r>
      <w:r>
        <w:rPr>
          <w:rFonts w:hint="eastAsia" w:cs="楷体"/>
          <w:sz w:val="24"/>
          <w:szCs w:val="24"/>
          <w:lang w:eastAsia="zh-CN"/>
        </w:rPr>
        <w:t>”）北京市通州区签署。</w:t>
      </w:r>
    </w:p>
    <w:p w14:paraId="69B785C4">
      <w:pPr>
        <w:spacing w:line="360" w:lineRule="auto"/>
        <w:rPr>
          <w:rFonts w:hint="eastAsia" w:cs="楷体"/>
          <w:sz w:val="24"/>
          <w:szCs w:val="24"/>
          <w:lang w:eastAsia="zh-CN"/>
        </w:rPr>
      </w:pPr>
    </w:p>
    <w:p w14:paraId="40939FD9">
      <w:pPr>
        <w:spacing w:line="360" w:lineRule="auto"/>
        <w:rPr>
          <w:rFonts w:hint="eastAsia" w:cs="楷体"/>
          <w:sz w:val="24"/>
          <w:szCs w:val="24"/>
          <w:lang w:eastAsia="zh-CN"/>
        </w:rPr>
      </w:pPr>
      <w:r>
        <w:rPr>
          <w:rFonts w:hint="eastAsia" w:cs="楷体"/>
          <w:sz w:val="24"/>
          <w:szCs w:val="24"/>
          <w:lang w:eastAsia="zh-CN"/>
        </w:rPr>
        <w:t>甲方：【北京通投兴苑置业有限公司】</w:t>
      </w:r>
    </w:p>
    <w:p w14:paraId="7A681408">
      <w:pPr>
        <w:spacing w:line="360" w:lineRule="auto"/>
        <w:rPr>
          <w:rFonts w:hint="eastAsia" w:cs="楷体"/>
          <w:sz w:val="24"/>
          <w:szCs w:val="24"/>
          <w:lang w:eastAsia="zh-CN"/>
        </w:rPr>
      </w:pPr>
      <w:r>
        <w:rPr>
          <w:rFonts w:hint="eastAsia" w:cs="楷体"/>
          <w:sz w:val="24"/>
          <w:szCs w:val="24"/>
          <w:lang w:eastAsia="zh-CN"/>
        </w:rPr>
        <w:t>统一社会信用代码：【91110112MACRL93CX1】</w:t>
      </w:r>
    </w:p>
    <w:p w14:paraId="05D56CB3">
      <w:pPr>
        <w:spacing w:line="360" w:lineRule="auto"/>
        <w:rPr>
          <w:rFonts w:hint="eastAsia" w:cs="楷体"/>
          <w:sz w:val="24"/>
          <w:szCs w:val="24"/>
          <w:lang w:eastAsia="zh-CN"/>
        </w:rPr>
      </w:pPr>
      <w:r>
        <w:rPr>
          <w:rFonts w:hint="eastAsia" w:cs="楷体"/>
          <w:sz w:val="24"/>
          <w:szCs w:val="24"/>
          <w:lang w:eastAsia="zh-CN"/>
        </w:rPr>
        <w:t>注册地址：【北京市通州区北苑一路1号院1号楼1层1-14-007】</w:t>
      </w:r>
    </w:p>
    <w:p w14:paraId="67B7B0D1">
      <w:pPr>
        <w:spacing w:line="360" w:lineRule="auto"/>
        <w:rPr>
          <w:rFonts w:hint="eastAsia" w:cs="楷体"/>
          <w:sz w:val="24"/>
          <w:szCs w:val="24"/>
          <w:lang w:eastAsia="zh-CN"/>
        </w:rPr>
      </w:pPr>
      <w:r>
        <w:rPr>
          <w:rFonts w:hint="eastAsia" w:cs="楷体"/>
          <w:sz w:val="24"/>
          <w:szCs w:val="24"/>
          <w:lang w:eastAsia="zh-CN"/>
        </w:rPr>
        <w:t>法定代表人/授权代表：【高政】</w:t>
      </w:r>
    </w:p>
    <w:p w14:paraId="0D073F0F">
      <w:pPr>
        <w:spacing w:line="360" w:lineRule="auto"/>
        <w:rPr>
          <w:rFonts w:hint="eastAsia" w:cs="楷体"/>
          <w:sz w:val="24"/>
          <w:szCs w:val="24"/>
          <w:lang w:eastAsia="zh-CN"/>
        </w:rPr>
      </w:pPr>
      <w:r>
        <w:rPr>
          <w:rFonts w:hint="eastAsia" w:cs="楷体"/>
          <w:sz w:val="24"/>
          <w:szCs w:val="24"/>
          <w:lang w:eastAsia="zh-CN"/>
        </w:rPr>
        <w:t xml:space="preserve"> </w:t>
      </w:r>
    </w:p>
    <w:p w14:paraId="6A0AE2F6">
      <w:pPr>
        <w:spacing w:line="360" w:lineRule="auto"/>
        <w:rPr>
          <w:rFonts w:hint="eastAsia"/>
          <w:color w:val="000000"/>
          <w:sz w:val="24"/>
          <w:szCs w:val="24"/>
          <w:lang w:eastAsia="zh-CN"/>
        </w:rPr>
      </w:pPr>
      <w:bookmarkStart w:id="7" w:name="OLE_LINK23"/>
      <w:bookmarkEnd w:id="7"/>
      <w:bookmarkStart w:id="8" w:name="OLE_LINK22"/>
      <w:r>
        <w:rPr>
          <w:rFonts w:hint="eastAsia"/>
          <w:color w:val="000000"/>
          <w:sz w:val="24"/>
          <w:szCs w:val="24"/>
          <w:lang w:eastAsia="zh-CN"/>
        </w:rPr>
        <w:t>乙方：【北京康正宏基房地产评估有限公司】</w:t>
      </w:r>
      <w:bookmarkEnd w:id="8"/>
    </w:p>
    <w:p w14:paraId="3EB1E044">
      <w:pPr>
        <w:spacing w:line="360" w:lineRule="auto"/>
        <w:rPr>
          <w:rFonts w:hint="eastAsia"/>
          <w:color w:val="000000"/>
          <w:sz w:val="24"/>
          <w:szCs w:val="24"/>
          <w:lang w:eastAsia="zh-CN"/>
        </w:rPr>
      </w:pPr>
      <w:r>
        <w:rPr>
          <w:rFonts w:hint="eastAsia"/>
          <w:color w:val="000000"/>
          <w:sz w:val="24"/>
          <w:szCs w:val="24"/>
          <w:lang w:eastAsia="zh-CN"/>
        </w:rPr>
        <w:t>统一社会信用代码：【91110106722616974K】</w:t>
      </w:r>
    </w:p>
    <w:p w14:paraId="48F575EE">
      <w:pPr>
        <w:spacing w:line="360" w:lineRule="auto"/>
        <w:rPr>
          <w:rFonts w:hint="eastAsia"/>
          <w:color w:val="000000"/>
          <w:sz w:val="24"/>
          <w:szCs w:val="24"/>
          <w:lang w:eastAsia="zh-CN"/>
        </w:rPr>
      </w:pPr>
      <w:r>
        <w:rPr>
          <w:rFonts w:hint="eastAsia"/>
          <w:color w:val="000000"/>
          <w:sz w:val="24"/>
          <w:szCs w:val="24"/>
          <w:lang w:eastAsia="zh-CN"/>
        </w:rPr>
        <w:t>注册地址：【北京市丰台区芳城园一区16号楼2层2门配套公建01】</w:t>
      </w:r>
    </w:p>
    <w:p w14:paraId="0BBA1484">
      <w:pPr>
        <w:spacing w:line="360" w:lineRule="auto"/>
        <w:rPr>
          <w:rFonts w:hint="eastAsia"/>
          <w:color w:val="000000"/>
          <w:sz w:val="24"/>
          <w:szCs w:val="24"/>
          <w:lang w:eastAsia="zh-CN"/>
        </w:rPr>
      </w:pPr>
      <w:r>
        <w:rPr>
          <w:rFonts w:hint="eastAsia"/>
          <w:color w:val="000000"/>
          <w:sz w:val="24"/>
          <w:szCs w:val="24"/>
          <w:lang w:eastAsia="zh-CN"/>
        </w:rPr>
        <w:t>法定代表人/授权代表：【齐宏】</w:t>
      </w:r>
    </w:p>
    <w:p w14:paraId="7CB1B263">
      <w:pPr>
        <w:spacing w:line="360" w:lineRule="auto"/>
        <w:rPr>
          <w:rFonts w:hint="eastAsia"/>
          <w:color w:val="000000"/>
          <w:sz w:val="24"/>
          <w:szCs w:val="24"/>
          <w:lang w:eastAsia="zh-CN"/>
        </w:rPr>
      </w:pPr>
    </w:p>
    <w:p w14:paraId="64E47772">
      <w:pPr>
        <w:spacing w:before="312" w:beforeLines="100" w:line="360" w:lineRule="auto"/>
        <w:ind w:firstLine="480" w:firstLineChars="200"/>
        <w:rPr>
          <w:rFonts w:hint="eastAsia" w:cs="楷体"/>
          <w:sz w:val="24"/>
          <w:szCs w:val="24"/>
          <w:lang w:eastAsia="zh-CN"/>
        </w:rPr>
      </w:pPr>
      <w:r>
        <w:rPr>
          <w:rFonts w:hint="eastAsia" w:cs="楷体"/>
          <w:sz w:val="24"/>
          <w:szCs w:val="24"/>
          <w:lang w:eastAsia="zh-CN"/>
        </w:rPr>
        <w:t>根据《中华人民共和国民法典》的规定，协议双方就</w:t>
      </w:r>
      <w:r>
        <w:rPr>
          <w:rFonts w:hint="eastAsia" w:cs="楷体"/>
          <w:color w:val="000000"/>
          <w:sz w:val="24"/>
          <w:szCs w:val="24"/>
          <w:lang w:eastAsia="zh-CN"/>
        </w:rPr>
        <w:t>【</w:t>
      </w:r>
      <w:r>
        <w:rPr>
          <w:rFonts w:hint="eastAsia" w:cs="楷体"/>
          <w:color w:val="000000"/>
          <w:sz w:val="24"/>
          <w:szCs w:val="24"/>
          <w:u w:val="single"/>
          <w:lang w:eastAsia="zh-CN"/>
        </w:rPr>
        <w:t>北苑家园中心项目各业态租售价格及物业费委托评估咨询</w:t>
      </w:r>
      <w:r>
        <w:rPr>
          <w:rFonts w:hint="eastAsia" w:cs="楷体"/>
          <w:color w:val="000000"/>
          <w:sz w:val="24"/>
          <w:szCs w:val="24"/>
          <w:lang w:eastAsia="zh-CN"/>
        </w:rPr>
        <w:t>】</w:t>
      </w:r>
      <w:r>
        <w:rPr>
          <w:rFonts w:hint="eastAsia" w:cs="楷体"/>
          <w:sz w:val="24"/>
          <w:szCs w:val="24"/>
          <w:lang w:eastAsia="zh-CN"/>
        </w:rPr>
        <w:t>项目的技术咨询经协商一致，签订本协议。</w:t>
      </w:r>
    </w:p>
    <w:p w14:paraId="2BC73BDD">
      <w:pPr>
        <w:pStyle w:val="11"/>
        <w:widowControl/>
        <w:numPr>
          <w:ilvl w:val="0"/>
          <w:numId w:val="1"/>
        </w:numPr>
        <w:spacing w:before="100" w:beforeLines="0" w:beforeAutospacing="1" w:after="240" w:afterLines="0"/>
        <w:jc w:val="left"/>
        <w:rPr>
          <w:rFonts w:hint="eastAsia" w:ascii="宋体" w:hAnsi="宋体" w:eastAsia="宋体" w:cs="楷体"/>
          <w:sz w:val="24"/>
          <w:szCs w:val="24"/>
        </w:rPr>
      </w:pPr>
      <w:bookmarkStart w:id="9" w:name="_Toc478057803"/>
      <w:bookmarkEnd w:id="9"/>
      <w:bookmarkStart w:id="10" w:name="_Toc29565"/>
      <w:bookmarkStart w:id="11" w:name="_Toc34058069"/>
      <w:r>
        <w:rPr>
          <w:rFonts w:hint="eastAsia" w:ascii="宋体" w:hAnsi="宋体" w:eastAsia="宋体" w:cs="楷体"/>
          <w:sz w:val="24"/>
          <w:szCs w:val="24"/>
        </w:rPr>
        <w:t>咨询内容、形式和要求</w:t>
      </w:r>
      <w:bookmarkEnd w:id="10"/>
      <w:bookmarkEnd w:id="11"/>
    </w:p>
    <w:p w14:paraId="155052E5">
      <w:pPr>
        <w:pStyle w:val="19"/>
        <w:numPr>
          <w:ilvl w:val="1"/>
          <w:numId w:val="2"/>
        </w:numPr>
        <w:spacing w:before="100" w:beforeAutospacing="1" w:line="360" w:lineRule="auto"/>
        <w:rPr>
          <w:rFonts w:hint="eastAsia" w:ascii="宋体" w:hAnsi="宋体" w:eastAsia="宋体" w:cs="楷体"/>
          <w:szCs w:val="24"/>
        </w:rPr>
      </w:pPr>
      <w:bookmarkStart w:id="12" w:name="_Ref431368202"/>
      <w:bookmarkEnd w:id="12"/>
      <w:bookmarkStart w:id="13" w:name="_Ref478057738"/>
      <w:r>
        <w:rPr>
          <w:rFonts w:hint="eastAsia" w:ascii="宋体" w:hAnsi="宋体" w:eastAsia="宋体" w:cs="楷体"/>
          <w:szCs w:val="24"/>
        </w:rPr>
        <w:t>项目概况</w:t>
      </w:r>
      <w:bookmarkEnd w:id="13"/>
    </w:p>
    <w:p w14:paraId="4588EB37">
      <w:pPr>
        <w:pStyle w:val="19"/>
        <w:spacing w:line="360" w:lineRule="auto"/>
        <w:ind w:left="0" w:firstLine="0"/>
        <w:outlineLvl w:val="9"/>
        <w:rPr>
          <w:rFonts w:hint="eastAsia" w:ascii="宋体" w:hAnsi="宋体" w:eastAsia="宋体" w:cs="楷体"/>
          <w:szCs w:val="24"/>
          <w:u w:val="single"/>
        </w:rPr>
      </w:pPr>
      <w:r>
        <w:rPr>
          <w:rFonts w:hint="eastAsia" w:ascii="宋体" w:hAnsi="宋体" w:eastAsia="宋体" w:cs="楷体"/>
          <w:szCs w:val="24"/>
          <w:u w:val="single"/>
        </w:rPr>
        <w:t xml:space="preserve">    北苑家园中心项目北接万达广场，西邻地铁通州北苑站，是北京城市副中心的西门户。项目是副中心首例建筑广场一体化项目，将打造绿色建筑三星级家园中心，已纳入2025年北京市“3个100”市重点工程项目。项目建成后将成为副中心首个全业态、街区级家园中心，总建筑面积约 9.73 万㎡，其中地上建筑面积5.26万㎡ 、地下建筑面积4.47万㎡ 。项目于2023年7月招拍挂拿地，现需根据最新的市场情况进行租售价格及物业费等全业态价格评估工作，以配合项目未来租售事项的推进。                                                              </w:t>
      </w:r>
    </w:p>
    <w:p w14:paraId="1633A87B">
      <w:pPr>
        <w:pStyle w:val="19"/>
        <w:numPr>
          <w:ilvl w:val="1"/>
          <w:numId w:val="2"/>
        </w:numPr>
        <w:spacing w:before="100" w:beforeAutospacing="1" w:line="360" w:lineRule="auto"/>
        <w:rPr>
          <w:rFonts w:hint="eastAsia" w:ascii="宋体" w:hAnsi="宋体" w:eastAsia="宋体" w:cs="楷体"/>
          <w:szCs w:val="24"/>
        </w:rPr>
      </w:pPr>
      <w:bookmarkStart w:id="14" w:name="_Ref351994643"/>
      <w:bookmarkEnd w:id="14"/>
      <w:r>
        <w:rPr>
          <w:rFonts w:hint="eastAsia" w:ascii="宋体" w:hAnsi="宋体" w:eastAsia="宋体" w:cs="楷体"/>
          <w:szCs w:val="24"/>
        </w:rPr>
        <w:t>咨询内容</w:t>
      </w:r>
    </w:p>
    <w:p w14:paraId="56D33A31">
      <w:pPr>
        <w:pStyle w:val="19"/>
        <w:spacing w:line="360" w:lineRule="auto"/>
        <w:ind w:left="0" w:firstLine="0"/>
        <w:outlineLvl w:val="9"/>
        <w:rPr>
          <w:rFonts w:hint="eastAsia" w:ascii="宋体" w:hAnsi="宋体" w:eastAsia="宋体" w:cs="楷体"/>
          <w:color w:val="000000"/>
          <w:szCs w:val="24"/>
          <w:u w:val="single"/>
        </w:rPr>
      </w:pPr>
      <w:r>
        <w:rPr>
          <w:rFonts w:ascii="宋体" w:hAnsi="宋体" w:eastAsia="宋体" w:cs="楷体"/>
          <w:color w:val="000000"/>
          <w:szCs w:val="24"/>
          <w:u w:val="single"/>
        </w:rPr>
        <w:t>甲方委托乙方就</w:t>
      </w:r>
      <w:r>
        <w:rPr>
          <w:rFonts w:ascii="宋体" w:hAnsi="宋体" w:eastAsia="宋体" w:cs="楷体"/>
          <w:color w:val="000000"/>
          <w:szCs w:val="24"/>
        </w:rPr>
        <w:t>【</w:t>
      </w:r>
      <w:r>
        <w:rPr>
          <w:rFonts w:hint="eastAsia" w:ascii="宋体" w:hAnsi="宋体" w:eastAsia="宋体" w:cs="楷体"/>
          <w:color w:val="000000"/>
          <w:szCs w:val="24"/>
          <w:u w:val="single"/>
        </w:rPr>
        <w:t>北苑家园中心</w:t>
      </w:r>
      <w:r>
        <w:rPr>
          <w:rFonts w:ascii="宋体" w:hAnsi="宋体" w:eastAsia="宋体" w:cs="楷体"/>
          <w:color w:val="000000"/>
          <w:szCs w:val="24"/>
        </w:rPr>
        <w:t>项目】</w:t>
      </w:r>
      <w:r>
        <w:rPr>
          <w:rFonts w:ascii="宋体" w:hAnsi="宋体" w:eastAsia="宋体" w:cs="楷体"/>
          <w:color w:val="000000"/>
          <w:szCs w:val="24"/>
          <w:u w:val="single"/>
        </w:rPr>
        <w:t>进行</w:t>
      </w:r>
      <w:r>
        <w:rPr>
          <w:rFonts w:hint="eastAsia" w:ascii="宋体" w:hAnsi="宋体" w:eastAsia="宋体" w:cs="楷体"/>
          <w:color w:val="000000"/>
          <w:szCs w:val="24"/>
          <w:u w:val="single"/>
        </w:rPr>
        <w:t>【各业态租售价格及物业费委托评估咨询】工作</w:t>
      </w:r>
      <w:r>
        <w:rPr>
          <w:rFonts w:ascii="宋体" w:hAnsi="宋体" w:eastAsia="宋体" w:cs="楷体"/>
          <w:color w:val="000000"/>
          <w:szCs w:val="24"/>
          <w:u w:val="single"/>
        </w:rPr>
        <w:t>，具体工作</w:t>
      </w:r>
      <w:r>
        <w:rPr>
          <w:rFonts w:hint="eastAsia" w:ascii="宋体" w:hAnsi="宋体" w:eastAsia="宋体" w:cs="楷体"/>
          <w:color w:val="000000"/>
          <w:szCs w:val="24"/>
          <w:u w:val="single"/>
        </w:rPr>
        <w:t>内容及工作进度计划如下：</w:t>
      </w:r>
    </w:p>
    <w:p w14:paraId="006C5CE5">
      <w:pPr>
        <w:pStyle w:val="20"/>
        <w:numPr>
          <w:ilvl w:val="2"/>
          <w:numId w:val="2"/>
        </w:numPr>
        <w:tabs>
          <w:tab w:val="left" w:pos="1276"/>
        </w:tabs>
        <w:spacing w:before="100" w:beforeAutospacing="1" w:line="360" w:lineRule="auto"/>
        <w:rPr>
          <w:rFonts w:hint="eastAsia" w:ascii="宋体" w:hAnsi="宋体" w:eastAsia="宋体" w:cs="楷体"/>
          <w:color w:val="000000"/>
        </w:rPr>
      </w:pPr>
      <w:r>
        <w:rPr>
          <w:rFonts w:hint="eastAsia" w:ascii="宋体" w:hAnsi="宋体" w:eastAsia="宋体" w:cs="楷体"/>
          <w:color w:val="000000"/>
        </w:rPr>
        <w:t>【</w:t>
      </w:r>
      <w:r>
        <w:rPr>
          <w:rFonts w:hint="eastAsia" w:ascii="宋体" w:hAnsi="宋体" w:eastAsia="宋体" w:cs="楷体"/>
        </w:rPr>
        <w:t>本次工作共分</w:t>
      </w:r>
      <w:r>
        <w:rPr>
          <w:rFonts w:hint="eastAsia" w:ascii="宋体" w:hAnsi="宋体" w:eastAsia="宋体" w:cs="楷体"/>
          <w:u w:val="single"/>
        </w:rPr>
        <w:t xml:space="preserve"> 一 </w:t>
      </w:r>
      <w:r>
        <w:rPr>
          <w:rFonts w:ascii="宋体" w:hAnsi="宋体" w:eastAsia="宋体" w:cs="楷体"/>
        </w:rPr>
        <w:t>个阶段，第一阶段</w:t>
      </w:r>
      <w:r>
        <w:rPr>
          <w:rFonts w:hint="eastAsia" w:ascii="宋体" w:hAnsi="宋体" w:eastAsia="宋体" w:cs="楷体"/>
          <w:u w:val="single"/>
        </w:rPr>
        <w:t xml:space="preserve">  根据甲方要求完成价格评估报告，并通过甲方验收  </w:t>
      </w:r>
      <w:r>
        <w:rPr>
          <w:rFonts w:hint="eastAsia" w:ascii="宋体" w:hAnsi="宋体" w:eastAsia="宋体" w:cs="楷体"/>
          <w:color w:val="000000"/>
        </w:rPr>
        <w:t>】；</w:t>
      </w:r>
    </w:p>
    <w:p w14:paraId="583470AA">
      <w:pPr>
        <w:pStyle w:val="20"/>
        <w:numPr>
          <w:ilvl w:val="2"/>
          <w:numId w:val="2"/>
        </w:numPr>
        <w:tabs>
          <w:tab w:val="left" w:pos="1276"/>
        </w:tabs>
        <w:spacing w:before="100" w:beforeAutospacing="1" w:line="360" w:lineRule="auto"/>
        <w:rPr>
          <w:rFonts w:hint="eastAsia" w:ascii="宋体" w:hAnsi="宋体" w:eastAsia="宋体" w:cs="楷体"/>
          <w:color w:val="000000"/>
        </w:rPr>
      </w:pPr>
      <w:r>
        <w:rPr>
          <w:rFonts w:hint="eastAsia" w:ascii="宋体" w:hAnsi="宋体" w:eastAsia="宋体" w:cs="楷体"/>
          <w:color w:val="000000"/>
        </w:rPr>
        <w:t>【</w:t>
      </w:r>
      <w:r>
        <w:rPr>
          <w:rFonts w:hint="eastAsia" w:ascii="宋体" w:hAnsi="宋体" w:eastAsia="宋体" w:cs="楷体"/>
        </w:rPr>
        <w:t xml:space="preserve">第二阶段为 </w:t>
      </w:r>
      <w:r>
        <w:rPr>
          <w:rFonts w:hint="eastAsia" w:ascii="宋体" w:hAnsi="宋体" w:eastAsia="宋体" w:cs="楷体"/>
          <w:u w:val="single"/>
        </w:rPr>
        <w:t xml:space="preserve">                  /                         </w:t>
      </w:r>
      <w:r>
        <w:rPr>
          <w:rFonts w:hint="eastAsia" w:ascii="宋体" w:hAnsi="宋体" w:eastAsia="宋体" w:cs="楷体"/>
          <w:color w:val="000000"/>
        </w:rPr>
        <w:t>】；</w:t>
      </w:r>
    </w:p>
    <w:p w14:paraId="0499FC93">
      <w:pPr>
        <w:pStyle w:val="20"/>
        <w:numPr>
          <w:ilvl w:val="2"/>
          <w:numId w:val="2"/>
        </w:numPr>
        <w:tabs>
          <w:tab w:val="left" w:pos="1276"/>
        </w:tabs>
        <w:spacing w:before="100" w:beforeAutospacing="1" w:line="360" w:lineRule="auto"/>
        <w:rPr>
          <w:rFonts w:hint="eastAsia" w:ascii="宋体" w:hAnsi="宋体" w:eastAsia="宋体" w:cs="楷体"/>
        </w:rPr>
      </w:pPr>
      <w:bookmarkStart w:id="15" w:name="_Ref352009300"/>
      <w:bookmarkEnd w:id="15"/>
      <w:r>
        <w:rPr>
          <w:rFonts w:hint="eastAsia" w:ascii="宋体" w:hAnsi="宋体" w:eastAsia="宋体" w:cs="楷体"/>
          <w:color w:val="000000"/>
        </w:rPr>
        <w:t>【</w:t>
      </w:r>
      <w:r>
        <w:rPr>
          <w:rFonts w:hint="eastAsia" w:ascii="宋体" w:hAnsi="宋体" w:eastAsia="宋体" w:cs="楷体"/>
        </w:rPr>
        <w:t xml:space="preserve">第三阶段 </w:t>
      </w:r>
      <w:r>
        <w:rPr>
          <w:rFonts w:hint="eastAsia" w:ascii="宋体" w:hAnsi="宋体" w:eastAsia="宋体" w:cs="楷体"/>
          <w:u w:val="single"/>
        </w:rPr>
        <w:t xml:space="preserve">                    /                         </w:t>
      </w:r>
      <w:r>
        <w:rPr>
          <w:rFonts w:hint="eastAsia" w:ascii="宋体" w:hAnsi="宋体" w:eastAsia="宋体" w:cs="楷体"/>
          <w:color w:val="000000"/>
        </w:rPr>
        <w:t>】；</w:t>
      </w:r>
    </w:p>
    <w:p w14:paraId="34C44D9A">
      <w:pPr>
        <w:pStyle w:val="20"/>
        <w:numPr>
          <w:ilvl w:val="2"/>
          <w:numId w:val="2"/>
        </w:numPr>
        <w:tabs>
          <w:tab w:val="left" w:pos="1276"/>
        </w:tabs>
        <w:spacing w:before="100" w:beforeAutospacing="1" w:line="360" w:lineRule="auto"/>
        <w:rPr>
          <w:rFonts w:hint="eastAsia" w:ascii="宋体" w:hAnsi="宋体" w:eastAsia="宋体" w:cs="楷体"/>
        </w:rPr>
      </w:pPr>
      <w:r>
        <w:rPr>
          <w:rFonts w:hint="eastAsia" w:ascii="宋体" w:hAnsi="宋体" w:eastAsia="宋体" w:cs="楷体"/>
        </w:rPr>
        <w:t>关于项目的其他咨询事宜。</w:t>
      </w:r>
      <w:r>
        <w:rPr>
          <w:rFonts w:ascii="宋体" w:hAnsi="宋体" w:eastAsia="宋体" w:cs="楷体"/>
        </w:rPr>
        <w:tab/>
      </w:r>
    </w:p>
    <w:p w14:paraId="69E1D34D">
      <w:pPr>
        <w:pStyle w:val="19"/>
        <w:numPr>
          <w:ilvl w:val="1"/>
          <w:numId w:val="2"/>
        </w:numPr>
        <w:spacing w:before="100" w:beforeAutospacing="1" w:line="360" w:lineRule="auto"/>
        <w:rPr>
          <w:rFonts w:hint="eastAsia" w:ascii="宋体" w:hAnsi="宋体" w:eastAsia="宋体" w:cs="楷体"/>
          <w:szCs w:val="24"/>
        </w:rPr>
      </w:pPr>
      <w:bookmarkStart w:id="16" w:name="_Ref478050355"/>
      <w:bookmarkEnd w:id="16"/>
      <w:bookmarkStart w:id="17" w:name="_Ref478056455"/>
      <w:r>
        <w:rPr>
          <w:rFonts w:hint="eastAsia" w:ascii="宋体" w:hAnsi="宋体" w:eastAsia="宋体" w:cs="楷体"/>
          <w:szCs w:val="24"/>
        </w:rPr>
        <w:t>咨询成果形式和要求</w:t>
      </w:r>
      <w:bookmarkEnd w:id="17"/>
    </w:p>
    <w:p w14:paraId="17742052">
      <w:pPr>
        <w:pStyle w:val="20"/>
        <w:numPr>
          <w:ilvl w:val="2"/>
          <w:numId w:val="2"/>
        </w:numPr>
        <w:tabs>
          <w:tab w:val="left" w:pos="1276"/>
        </w:tabs>
        <w:spacing w:before="100" w:beforeAutospacing="1" w:line="360" w:lineRule="auto"/>
        <w:ind w:left="2162" w:leftChars="258" w:hanging="1594"/>
        <w:rPr>
          <w:rFonts w:hint="eastAsia" w:ascii="宋体" w:hAnsi="宋体" w:eastAsia="宋体" w:cs="楷体"/>
        </w:rPr>
      </w:pPr>
      <w:r>
        <w:rPr>
          <w:rFonts w:hint="eastAsia" w:ascii="宋体" w:hAnsi="宋体" w:eastAsia="宋体" w:cs="楷体"/>
        </w:rPr>
        <w:t>乙方根据以下要求提交成果（日历天包含周六日）：</w:t>
      </w:r>
    </w:p>
    <w:tbl>
      <w:tblPr>
        <w:tblStyle w:val="13"/>
        <w:tblW w:w="8117" w:type="dxa"/>
        <w:tblInd w:w="383" w:type="dxa"/>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Layout w:type="fixed"/>
        <w:tblCellMar>
          <w:top w:w="0" w:type="dxa"/>
          <w:left w:w="45" w:type="dxa"/>
          <w:bottom w:w="0" w:type="dxa"/>
          <w:right w:w="45" w:type="dxa"/>
        </w:tblCellMar>
      </w:tblPr>
      <w:tblGrid>
        <w:gridCol w:w="555"/>
        <w:gridCol w:w="1548"/>
        <w:gridCol w:w="2164"/>
        <w:gridCol w:w="2190"/>
        <w:gridCol w:w="1660"/>
      </w:tblGrid>
      <w:tr w14:paraId="194482E4">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45" w:type="dxa"/>
            <w:bottom w:w="0" w:type="dxa"/>
            <w:right w:w="45" w:type="dxa"/>
          </w:tblCellMar>
        </w:tblPrEx>
        <w:trPr>
          <w:trHeight w:val="286" w:hRule="atLeast"/>
        </w:trPr>
        <w:tc>
          <w:tcPr>
            <w:tcW w:w="555" w:type="dxa"/>
            <w:vAlign w:val="center"/>
          </w:tcPr>
          <w:p w14:paraId="5D089A1E">
            <w:pPr>
              <w:spacing w:line="360" w:lineRule="auto"/>
              <w:jc w:val="center"/>
              <w:rPr>
                <w:rFonts w:hint="eastAsia"/>
                <w:lang w:eastAsia="zh-CN"/>
              </w:rPr>
            </w:pPr>
            <w:r>
              <w:rPr>
                <w:rFonts w:hint="eastAsia"/>
                <w:lang w:eastAsia="zh-CN"/>
              </w:rPr>
              <w:t>序号</w:t>
            </w:r>
          </w:p>
        </w:tc>
        <w:tc>
          <w:tcPr>
            <w:tcW w:w="1548" w:type="dxa"/>
            <w:vAlign w:val="center"/>
          </w:tcPr>
          <w:p w14:paraId="2E0D50CF">
            <w:pPr>
              <w:spacing w:line="360" w:lineRule="auto"/>
              <w:jc w:val="center"/>
              <w:rPr>
                <w:rFonts w:hint="eastAsia"/>
                <w:lang w:eastAsia="zh-CN"/>
              </w:rPr>
            </w:pPr>
            <w:r>
              <w:rPr>
                <w:rFonts w:hint="eastAsia"/>
                <w:lang w:eastAsia="zh-CN"/>
              </w:rPr>
              <w:t>成果名称</w:t>
            </w:r>
          </w:p>
        </w:tc>
        <w:tc>
          <w:tcPr>
            <w:tcW w:w="2164" w:type="dxa"/>
            <w:vAlign w:val="center"/>
          </w:tcPr>
          <w:p w14:paraId="4FE1DBDB">
            <w:pPr>
              <w:spacing w:line="360" w:lineRule="auto"/>
              <w:jc w:val="center"/>
              <w:rPr>
                <w:rFonts w:hint="eastAsia"/>
                <w:lang w:eastAsia="zh-CN"/>
              </w:rPr>
            </w:pPr>
            <w:r>
              <w:rPr>
                <w:rFonts w:hint="eastAsia"/>
                <w:lang w:eastAsia="zh-CN"/>
              </w:rPr>
              <w:t>成果主要内容</w:t>
            </w:r>
          </w:p>
        </w:tc>
        <w:tc>
          <w:tcPr>
            <w:tcW w:w="2190" w:type="dxa"/>
            <w:vAlign w:val="center"/>
          </w:tcPr>
          <w:p w14:paraId="26BC456A">
            <w:pPr>
              <w:spacing w:line="360" w:lineRule="auto"/>
              <w:jc w:val="center"/>
              <w:rPr>
                <w:rFonts w:hint="eastAsia"/>
                <w:lang w:eastAsia="zh-CN"/>
              </w:rPr>
            </w:pPr>
            <w:r>
              <w:rPr>
                <w:rFonts w:hint="eastAsia"/>
                <w:lang w:eastAsia="zh-CN"/>
              </w:rPr>
              <w:t>提交形式和份数</w:t>
            </w:r>
          </w:p>
        </w:tc>
        <w:tc>
          <w:tcPr>
            <w:tcW w:w="1660" w:type="dxa"/>
            <w:vAlign w:val="center"/>
          </w:tcPr>
          <w:p w14:paraId="1FBFB9B8">
            <w:pPr>
              <w:spacing w:line="360" w:lineRule="auto"/>
              <w:jc w:val="center"/>
              <w:rPr>
                <w:rFonts w:hint="eastAsia"/>
                <w:lang w:eastAsia="zh-CN"/>
              </w:rPr>
            </w:pPr>
            <w:r>
              <w:rPr>
                <w:rFonts w:hint="eastAsia"/>
                <w:lang w:eastAsia="zh-CN"/>
              </w:rPr>
              <w:t>提交日期</w:t>
            </w:r>
          </w:p>
        </w:tc>
      </w:tr>
      <w:tr w14:paraId="47182342">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45" w:type="dxa"/>
            <w:bottom w:w="0" w:type="dxa"/>
            <w:right w:w="45" w:type="dxa"/>
          </w:tblCellMar>
        </w:tblPrEx>
        <w:trPr>
          <w:trHeight w:val="220" w:hRule="atLeast"/>
        </w:trPr>
        <w:tc>
          <w:tcPr>
            <w:tcW w:w="555" w:type="dxa"/>
            <w:vAlign w:val="center"/>
          </w:tcPr>
          <w:p w14:paraId="745E1D65">
            <w:pPr>
              <w:spacing w:line="360" w:lineRule="auto"/>
              <w:jc w:val="center"/>
              <w:rPr>
                <w:rFonts w:hint="eastAsia"/>
                <w:lang w:eastAsia="zh-CN"/>
              </w:rPr>
            </w:pPr>
            <w:r>
              <w:rPr>
                <w:rFonts w:hint="eastAsia"/>
                <w:lang w:eastAsia="zh-CN"/>
              </w:rPr>
              <w:t>1</w:t>
            </w:r>
          </w:p>
        </w:tc>
        <w:tc>
          <w:tcPr>
            <w:tcW w:w="1548" w:type="dxa"/>
            <w:vAlign w:val="center"/>
          </w:tcPr>
          <w:p w14:paraId="599AB136">
            <w:pPr>
              <w:spacing w:line="360" w:lineRule="auto"/>
              <w:jc w:val="center"/>
              <w:rPr>
                <w:rFonts w:hint="eastAsia"/>
                <w:lang w:eastAsia="zh-CN"/>
              </w:rPr>
            </w:pPr>
            <w:r>
              <w:rPr>
                <w:rFonts w:hint="eastAsia"/>
                <w:lang w:eastAsia="zh-CN"/>
              </w:rPr>
              <w:t>自持办公租金评估</w:t>
            </w:r>
          </w:p>
        </w:tc>
        <w:tc>
          <w:tcPr>
            <w:tcW w:w="2164" w:type="dxa"/>
          </w:tcPr>
          <w:p w14:paraId="1E8D58D5">
            <w:pPr>
              <w:spacing w:line="360" w:lineRule="auto"/>
              <w:jc w:val="center"/>
              <w:rPr>
                <w:rFonts w:hint="eastAsia"/>
                <w:lang w:eastAsia="zh-CN"/>
              </w:rPr>
            </w:pPr>
            <w:r>
              <w:rPr>
                <w:rFonts w:hint="eastAsia"/>
                <w:lang w:eastAsia="zh-CN"/>
              </w:rPr>
              <w:t>北区3层、4层自持办公散租租金价格、整层租赁租金价格</w:t>
            </w:r>
          </w:p>
        </w:tc>
        <w:tc>
          <w:tcPr>
            <w:tcW w:w="2190" w:type="dxa"/>
            <w:vAlign w:val="center"/>
          </w:tcPr>
          <w:p w14:paraId="2F95B2A8">
            <w:pPr>
              <w:spacing w:line="360" w:lineRule="auto"/>
              <w:jc w:val="center"/>
              <w:rPr>
                <w:rFonts w:hint="eastAsia"/>
                <w:lang w:eastAsia="zh-CN"/>
              </w:rPr>
            </w:pPr>
            <w:bookmarkStart w:id="18" w:name="OLE_LINK14"/>
            <w:r>
              <w:rPr>
                <w:rFonts w:hint="eastAsia"/>
                <w:lang w:eastAsia="zh-CN"/>
              </w:rPr>
              <w:t>评估报告</w:t>
            </w:r>
            <w:r>
              <w:rPr>
                <w:rFonts w:hint="eastAsia"/>
                <w:lang w:eastAsia="zh-CN"/>
              </w:rPr>
              <w:br w:type="textWrapping"/>
            </w:r>
            <w:r>
              <w:rPr>
                <w:rFonts w:hint="eastAsia"/>
                <w:lang w:eastAsia="zh-CN"/>
              </w:rPr>
              <w:t>盖章版原件2份、电子版1份</w:t>
            </w:r>
            <w:bookmarkEnd w:id="18"/>
          </w:p>
        </w:tc>
        <w:tc>
          <w:tcPr>
            <w:tcW w:w="1660" w:type="dxa"/>
            <w:vAlign w:val="center"/>
          </w:tcPr>
          <w:p w14:paraId="1CF39141">
            <w:pPr>
              <w:spacing w:line="360" w:lineRule="auto"/>
              <w:jc w:val="center"/>
              <w:rPr>
                <w:rFonts w:hint="eastAsia"/>
                <w:lang w:eastAsia="zh-CN"/>
              </w:rPr>
            </w:pPr>
            <w:r>
              <w:rPr>
                <w:rFonts w:hint="eastAsia"/>
                <w:lang w:eastAsia="zh-CN"/>
              </w:rPr>
              <w:t>签订合同后2个月内</w:t>
            </w:r>
          </w:p>
        </w:tc>
      </w:tr>
      <w:tr w14:paraId="582B7326">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45" w:type="dxa"/>
            <w:bottom w:w="0" w:type="dxa"/>
            <w:right w:w="45" w:type="dxa"/>
          </w:tblCellMar>
        </w:tblPrEx>
        <w:trPr>
          <w:trHeight w:val="555" w:hRule="atLeast"/>
        </w:trPr>
        <w:tc>
          <w:tcPr>
            <w:tcW w:w="555" w:type="dxa"/>
            <w:vAlign w:val="center"/>
          </w:tcPr>
          <w:p w14:paraId="040D811C">
            <w:pPr>
              <w:spacing w:line="360" w:lineRule="auto"/>
              <w:jc w:val="center"/>
              <w:rPr>
                <w:rFonts w:hint="eastAsia"/>
                <w:lang w:eastAsia="zh-CN"/>
              </w:rPr>
            </w:pPr>
            <w:r>
              <w:rPr>
                <w:rFonts w:hint="eastAsia"/>
                <w:lang w:eastAsia="zh-CN"/>
              </w:rPr>
              <w:t>2</w:t>
            </w:r>
          </w:p>
        </w:tc>
        <w:tc>
          <w:tcPr>
            <w:tcW w:w="1548" w:type="dxa"/>
            <w:vAlign w:val="center"/>
          </w:tcPr>
          <w:p w14:paraId="151EB264">
            <w:pPr>
              <w:spacing w:line="360" w:lineRule="auto"/>
              <w:jc w:val="center"/>
              <w:rPr>
                <w:rFonts w:hint="eastAsia"/>
                <w:lang w:eastAsia="zh-CN"/>
              </w:rPr>
            </w:pPr>
            <w:r>
              <w:rPr>
                <w:rFonts w:hint="eastAsia"/>
                <w:lang w:eastAsia="zh-CN"/>
              </w:rPr>
              <w:t>可售办公售价评估</w:t>
            </w:r>
          </w:p>
        </w:tc>
        <w:tc>
          <w:tcPr>
            <w:tcW w:w="2164" w:type="dxa"/>
          </w:tcPr>
          <w:p w14:paraId="55AE680A">
            <w:pPr>
              <w:spacing w:line="360" w:lineRule="auto"/>
              <w:jc w:val="center"/>
              <w:rPr>
                <w:rFonts w:hint="eastAsia"/>
                <w:lang w:eastAsia="zh-CN"/>
              </w:rPr>
            </w:pPr>
            <w:r>
              <w:rPr>
                <w:rFonts w:hint="eastAsia"/>
                <w:lang w:eastAsia="zh-CN"/>
              </w:rPr>
              <w:t>南区北区可售办公分别整体出售、散售的价格</w:t>
            </w:r>
          </w:p>
        </w:tc>
        <w:tc>
          <w:tcPr>
            <w:tcW w:w="2190" w:type="dxa"/>
            <w:vAlign w:val="center"/>
          </w:tcPr>
          <w:p w14:paraId="1EDA2CF0">
            <w:pPr>
              <w:spacing w:line="360" w:lineRule="auto"/>
              <w:jc w:val="center"/>
              <w:rPr>
                <w:rFonts w:hint="eastAsia"/>
                <w:lang w:eastAsia="zh-CN"/>
              </w:rPr>
            </w:pPr>
            <w:r>
              <w:rPr>
                <w:rFonts w:hint="eastAsia"/>
                <w:lang w:eastAsia="zh-CN"/>
              </w:rPr>
              <w:t>评估报告</w:t>
            </w:r>
            <w:r>
              <w:rPr>
                <w:rFonts w:hint="eastAsia"/>
                <w:lang w:eastAsia="zh-CN"/>
              </w:rPr>
              <w:br w:type="textWrapping"/>
            </w:r>
            <w:r>
              <w:rPr>
                <w:rFonts w:hint="eastAsia"/>
                <w:lang w:eastAsia="zh-CN"/>
              </w:rPr>
              <w:t>盖章版原件2份、电子版1份</w:t>
            </w:r>
          </w:p>
        </w:tc>
        <w:tc>
          <w:tcPr>
            <w:tcW w:w="1660" w:type="dxa"/>
            <w:vAlign w:val="center"/>
          </w:tcPr>
          <w:p w14:paraId="32FABCD8">
            <w:pPr>
              <w:spacing w:line="360" w:lineRule="auto"/>
              <w:jc w:val="center"/>
              <w:rPr>
                <w:rFonts w:hint="eastAsia"/>
                <w:lang w:eastAsia="zh-CN"/>
              </w:rPr>
            </w:pPr>
            <w:r>
              <w:rPr>
                <w:rFonts w:hint="eastAsia"/>
                <w:lang w:eastAsia="zh-CN"/>
              </w:rPr>
              <w:t>签订合同后2个月内</w:t>
            </w:r>
          </w:p>
        </w:tc>
      </w:tr>
      <w:tr w14:paraId="3B0E4097">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45" w:type="dxa"/>
            <w:bottom w:w="0" w:type="dxa"/>
            <w:right w:w="45" w:type="dxa"/>
          </w:tblCellMar>
        </w:tblPrEx>
        <w:trPr>
          <w:trHeight w:val="555" w:hRule="atLeast"/>
        </w:trPr>
        <w:tc>
          <w:tcPr>
            <w:tcW w:w="555" w:type="dxa"/>
            <w:vAlign w:val="center"/>
          </w:tcPr>
          <w:p w14:paraId="15ED59FD">
            <w:pPr>
              <w:spacing w:line="360" w:lineRule="auto"/>
              <w:jc w:val="center"/>
              <w:rPr>
                <w:rFonts w:hint="eastAsia"/>
                <w:lang w:eastAsia="zh-CN"/>
              </w:rPr>
            </w:pPr>
            <w:r>
              <w:rPr>
                <w:rFonts w:hint="eastAsia"/>
                <w:lang w:eastAsia="zh-CN"/>
              </w:rPr>
              <w:t>3</w:t>
            </w:r>
          </w:p>
        </w:tc>
        <w:tc>
          <w:tcPr>
            <w:tcW w:w="1548" w:type="dxa"/>
            <w:vAlign w:val="center"/>
          </w:tcPr>
          <w:p w14:paraId="4DA208F0">
            <w:pPr>
              <w:spacing w:line="360" w:lineRule="auto"/>
              <w:jc w:val="center"/>
              <w:rPr>
                <w:rFonts w:hint="eastAsia"/>
                <w:lang w:eastAsia="zh-CN"/>
              </w:rPr>
            </w:pPr>
            <w:r>
              <w:rPr>
                <w:rFonts w:hint="eastAsia"/>
                <w:lang w:eastAsia="zh-CN"/>
              </w:rPr>
              <w:t>商业租金评估</w:t>
            </w:r>
          </w:p>
        </w:tc>
        <w:tc>
          <w:tcPr>
            <w:tcW w:w="2164" w:type="dxa"/>
          </w:tcPr>
          <w:p w14:paraId="5C3DCAB5">
            <w:pPr>
              <w:spacing w:line="360" w:lineRule="auto"/>
              <w:jc w:val="center"/>
              <w:rPr>
                <w:rFonts w:hint="eastAsia"/>
                <w:lang w:eastAsia="zh-CN"/>
              </w:rPr>
            </w:pPr>
            <w:r>
              <w:rPr>
                <w:rFonts w:hint="eastAsia"/>
                <w:lang w:eastAsia="zh-CN"/>
              </w:rPr>
              <w:t>项目统一招商运营的商业的租金指导价格（南区北区分别分层租金指导价）</w:t>
            </w:r>
          </w:p>
        </w:tc>
        <w:tc>
          <w:tcPr>
            <w:tcW w:w="2190" w:type="dxa"/>
            <w:vAlign w:val="center"/>
          </w:tcPr>
          <w:p w14:paraId="499674B2">
            <w:pPr>
              <w:spacing w:line="360" w:lineRule="auto"/>
              <w:jc w:val="center"/>
              <w:rPr>
                <w:rFonts w:hint="eastAsia"/>
                <w:lang w:eastAsia="zh-CN"/>
              </w:rPr>
            </w:pPr>
            <w:r>
              <w:rPr>
                <w:rFonts w:hint="eastAsia"/>
                <w:lang w:eastAsia="zh-CN"/>
              </w:rPr>
              <w:t>评估报告</w:t>
            </w:r>
            <w:r>
              <w:rPr>
                <w:rFonts w:hint="eastAsia"/>
                <w:lang w:eastAsia="zh-CN"/>
              </w:rPr>
              <w:br w:type="textWrapping"/>
            </w:r>
            <w:r>
              <w:rPr>
                <w:rFonts w:hint="eastAsia"/>
                <w:lang w:eastAsia="zh-CN"/>
              </w:rPr>
              <w:t>盖章版原件2份、电子版1份</w:t>
            </w:r>
          </w:p>
        </w:tc>
        <w:tc>
          <w:tcPr>
            <w:tcW w:w="1660" w:type="dxa"/>
            <w:vAlign w:val="center"/>
          </w:tcPr>
          <w:p w14:paraId="2C079C91">
            <w:pPr>
              <w:spacing w:line="360" w:lineRule="auto"/>
              <w:jc w:val="center"/>
              <w:rPr>
                <w:rFonts w:hint="eastAsia"/>
                <w:lang w:eastAsia="zh-CN"/>
              </w:rPr>
            </w:pPr>
            <w:r>
              <w:rPr>
                <w:rFonts w:hint="eastAsia"/>
                <w:lang w:eastAsia="zh-CN"/>
              </w:rPr>
              <w:t>签订合同后2个月内</w:t>
            </w:r>
          </w:p>
        </w:tc>
      </w:tr>
      <w:tr w14:paraId="03886555">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45" w:type="dxa"/>
            <w:bottom w:w="0" w:type="dxa"/>
            <w:right w:w="45" w:type="dxa"/>
          </w:tblCellMar>
        </w:tblPrEx>
        <w:trPr>
          <w:trHeight w:val="555" w:hRule="atLeast"/>
        </w:trPr>
        <w:tc>
          <w:tcPr>
            <w:tcW w:w="555" w:type="dxa"/>
            <w:vAlign w:val="center"/>
          </w:tcPr>
          <w:p w14:paraId="4567D3F7">
            <w:pPr>
              <w:spacing w:line="360" w:lineRule="auto"/>
              <w:jc w:val="center"/>
              <w:rPr>
                <w:rFonts w:hint="eastAsia"/>
                <w:lang w:eastAsia="zh-CN"/>
              </w:rPr>
            </w:pPr>
            <w:r>
              <w:rPr>
                <w:rFonts w:hint="eastAsia"/>
                <w:lang w:eastAsia="zh-CN"/>
              </w:rPr>
              <w:t>4</w:t>
            </w:r>
          </w:p>
        </w:tc>
        <w:tc>
          <w:tcPr>
            <w:tcW w:w="1548" w:type="dxa"/>
            <w:vAlign w:val="center"/>
          </w:tcPr>
          <w:p w14:paraId="3B3B9042">
            <w:pPr>
              <w:spacing w:line="360" w:lineRule="auto"/>
              <w:jc w:val="center"/>
              <w:rPr>
                <w:rFonts w:hint="eastAsia"/>
                <w:lang w:eastAsia="zh-CN"/>
              </w:rPr>
            </w:pPr>
            <w:r>
              <w:rPr>
                <w:rFonts w:hint="eastAsia"/>
                <w:lang w:eastAsia="zh-CN"/>
              </w:rPr>
              <w:t>商业出售价格评估</w:t>
            </w:r>
          </w:p>
        </w:tc>
        <w:tc>
          <w:tcPr>
            <w:tcW w:w="2164" w:type="dxa"/>
          </w:tcPr>
          <w:p w14:paraId="771A1288">
            <w:pPr>
              <w:spacing w:line="360" w:lineRule="auto"/>
              <w:jc w:val="center"/>
              <w:rPr>
                <w:rFonts w:hint="eastAsia"/>
                <w:lang w:eastAsia="zh-CN"/>
              </w:rPr>
            </w:pPr>
            <w:r>
              <w:rPr>
                <w:rFonts w:hint="eastAsia"/>
                <w:lang w:eastAsia="zh-CN"/>
              </w:rPr>
              <w:t>项目可售商业的出售指导价格</w:t>
            </w:r>
          </w:p>
        </w:tc>
        <w:tc>
          <w:tcPr>
            <w:tcW w:w="2190" w:type="dxa"/>
            <w:vAlign w:val="center"/>
          </w:tcPr>
          <w:p w14:paraId="3E45F473">
            <w:pPr>
              <w:spacing w:line="360" w:lineRule="auto"/>
              <w:jc w:val="center"/>
              <w:rPr>
                <w:rFonts w:hint="eastAsia"/>
                <w:lang w:eastAsia="zh-CN"/>
              </w:rPr>
            </w:pPr>
            <w:r>
              <w:rPr>
                <w:rFonts w:hint="eastAsia"/>
                <w:lang w:eastAsia="zh-CN"/>
              </w:rPr>
              <w:t>评估报告</w:t>
            </w:r>
            <w:r>
              <w:rPr>
                <w:rFonts w:hint="eastAsia"/>
                <w:lang w:eastAsia="zh-CN"/>
              </w:rPr>
              <w:br w:type="textWrapping"/>
            </w:r>
            <w:r>
              <w:rPr>
                <w:rFonts w:hint="eastAsia"/>
                <w:lang w:eastAsia="zh-CN"/>
              </w:rPr>
              <w:t>盖章版原件2份、电子版1份</w:t>
            </w:r>
          </w:p>
        </w:tc>
        <w:tc>
          <w:tcPr>
            <w:tcW w:w="1660" w:type="dxa"/>
            <w:vAlign w:val="center"/>
          </w:tcPr>
          <w:p w14:paraId="1CBFC229">
            <w:pPr>
              <w:spacing w:line="360" w:lineRule="auto"/>
              <w:jc w:val="center"/>
              <w:rPr>
                <w:rFonts w:hint="eastAsia"/>
                <w:lang w:eastAsia="zh-CN"/>
              </w:rPr>
            </w:pPr>
            <w:r>
              <w:rPr>
                <w:rFonts w:hint="eastAsia"/>
                <w:lang w:eastAsia="zh-CN"/>
              </w:rPr>
              <w:t>签订合同后2个月内</w:t>
            </w:r>
          </w:p>
        </w:tc>
      </w:tr>
      <w:tr w14:paraId="69ED419A">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45" w:type="dxa"/>
            <w:bottom w:w="0" w:type="dxa"/>
            <w:right w:w="45" w:type="dxa"/>
          </w:tblCellMar>
        </w:tblPrEx>
        <w:trPr>
          <w:trHeight w:val="555" w:hRule="atLeast"/>
        </w:trPr>
        <w:tc>
          <w:tcPr>
            <w:tcW w:w="555" w:type="dxa"/>
            <w:vAlign w:val="center"/>
          </w:tcPr>
          <w:p w14:paraId="22A41777">
            <w:pPr>
              <w:spacing w:line="360" w:lineRule="auto"/>
              <w:jc w:val="center"/>
              <w:rPr>
                <w:rFonts w:hint="eastAsia"/>
                <w:lang w:eastAsia="zh-CN"/>
              </w:rPr>
            </w:pPr>
            <w:r>
              <w:rPr>
                <w:rFonts w:hint="eastAsia"/>
                <w:lang w:eastAsia="zh-CN"/>
              </w:rPr>
              <w:t>5</w:t>
            </w:r>
          </w:p>
        </w:tc>
        <w:tc>
          <w:tcPr>
            <w:tcW w:w="1548" w:type="dxa"/>
            <w:vAlign w:val="center"/>
          </w:tcPr>
          <w:p w14:paraId="0C2502CE">
            <w:pPr>
              <w:spacing w:line="360" w:lineRule="auto"/>
              <w:jc w:val="center"/>
              <w:rPr>
                <w:rFonts w:hint="eastAsia"/>
                <w:lang w:eastAsia="zh-CN"/>
              </w:rPr>
            </w:pPr>
            <w:r>
              <w:rPr>
                <w:rFonts w:hint="eastAsia"/>
                <w:lang w:eastAsia="zh-CN"/>
              </w:rPr>
              <w:t>机构养老底租评估</w:t>
            </w:r>
          </w:p>
        </w:tc>
        <w:tc>
          <w:tcPr>
            <w:tcW w:w="2164" w:type="dxa"/>
          </w:tcPr>
          <w:p w14:paraId="02E952C2">
            <w:pPr>
              <w:spacing w:line="360" w:lineRule="auto"/>
              <w:jc w:val="center"/>
              <w:rPr>
                <w:rFonts w:hint="eastAsia"/>
                <w:lang w:eastAsia="zh-CN"/>
              </w:rPr>
            </w:pPr>
            <w:r>
              <w:rPr>
                <w:rFonts w:hint="eastAsia"/>
                <w:lang w:eastAsia="zh-CN"/>
              </w:rPr>
              <w:t>机构养老整体打包租赁给运营机构的租金评估</w:t>
            </w:r>
          </w:p>
        </w:tc>
        <w:tc>
          <w:tcPr>
            <w:tcW w:w="2190" w:type="dxa"/>
            <w:vAlign w:val="center"/>
          </w:tcPr>
          <w:p w14:paraId="4C189F9D">
            <w:pPr>
              <w:spacing w:line="360" w:lineRule="auto"/>
              <w:jc w:val="center"/>
              <w:rPr>
                <w:rFonts w:hint="eastAsia"/>
                <w:lang w:eastAsia="zh-CN"/>
              </w:rPr>
            </w:pPr>
            <w:r>
              <w:rPr>
                <w:rFonts w:hint="eastAsia"/>
                <w:lang w:eastAsia="zh-CN"/>
              </w:rPr>
              <w:t>评估报告</w:t>
            </w:r>
            <w:r>
              <w:rPr>
                <w:rFonts w:hint="eastAsia"/>
                <w:lang w:eastAsia="zh-CN"/>
              </w:rPr>
              <w:br w:type="textWrapping"/>
            </w:r>
            <w:r>
              <w:rPr>
                <w:rFonts w:hint="eastAsia"/>
                <w:lang w:eastAsia="zh-CN"/>
              </w:rPr>
              <w:t>盖章版原件2份、电子版0份</w:t>
            </w:r>
          </w:p>
        </w:tc>
        <w:tc>
          <w:tcPr>
            <w:tcW w:w="1660" w:type="dxa"/>
            <w:vAlign w:val="center"/>
          </w:tcPr>
          <w:p w14:paraId="67B01A49">
            <w:pPr>
              <w:spacing w:line="360" w:lineRule="auto"/>
              <w:jc w:val="center"/>
              <w:rPr>
                <w:rFonts w:hint="eastAsia"/>
                <w:lang w:eastAsia="zh-CN"/>
              </w:rPr>
            </w:pPr>
            <w:r>
              <w:rPr>
                <w:rFonts w:hint="eastAsia"/>
                <w:lang w:eastAsia="zh-CN"/>
              </w:rPr>
              <w:t>签订合同后2个月内</w:t>
            </w:r>
          </w:p>
        </w:tc>
      </w:tr>
      <w:tr w14:paraId="1881380B">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45" w:type="dxa"/>
            <w:bottom w:w="0" w:type="dxa"/>
            <w:right w:w="45" w:type="dxa"/>
          </w:tblCellMar>
        </w:tblPrEx>
        <w:trPr>
          <w:trHeight w:val="555" w:hRule="atLeast"/>
        </w:trPr>
        <w:tc>
          <w:tcPr>
            <w:tcW w:w="555" w:type="dxa"/>
            <w:vAlign w:val="center"/>
          </w:tcPr>
          <w:p w14:paraId="4DFA9E0A">
            <w:pPr>
              <w:spacing w:line="360" w:lineRule="auto"/>
              <w:jc w:val="center"/>
              <w:rPr>
                <w:rFonts w:hint="eastAsia" w:cs="楷体"/>
                <w:sz w:val="24"/>
                <w:szCs w:val="24"/>
                <w:lang w:eastAsia="zh-CN"/>
              </w:rPr>
            </w:pPr>
            <w:r>
              <w:rPr>
                <w:rFonts w:hint="eastAsia" w:cs="楷体"/>
                <w:sz w:val="24"/>
                <w:szCs w:val="24"/>
                <w:lang w:eastAsia="zh-CN"/>
              </w:rPr>
              <w:t>6</w:t>
            </w:r>
          </w:p>
        </w:tc>
        <w:tc>
          <w:tcPr>
            <w:tcW w:w="1548" w:type="dxa"/>
            <w:vAlign w:val="center"/>
          </w:tcPr>
          <w:p w14:paraId="228DD175">
            <w:pPr>
              <w:spacing w:line="360" w:lineRule="auto"/>
              <w:jc w:val="center"/>
              <w:rPr>
                <w:rFonts w:hint="eastAsia" w:cs="楷体"/>
                <w:sz w:val="24"/>
                <w:szCs w:val="24"/>
              </w:rPr>
            </w:pPr>
            <w:r>
              <w:rPr>
                <w:rFonts w:hint="eastAsia" w:cs="楷体"/>
                <w:sz w:val="24"/>
                <w:szCs w:val="24"/>
              </w:rPr>
              <w:t>物业费评估</w:t>
            </w:r>
          </w:p>
        </w:tc>
        <w:tc>
          <w:tcPr>
            <w:tcW w:w="2164" w:type="dxa"/>
          </w:tcPr>
          <w:p w14:paraId="35A93797">
            <w:pPr>
              <w:spacing w:line="360" w:lineRule="auto"/>
              <w:jc w:val="center"/>
              <w:rPr>
                <w:rFonts w:hint="eastAsia" w:cs="楷体"/>
                <w:sz w:val="24"/>
                <w:szCs w:val="24"/>
                <w:lang w:eastAsia="zh-CN"/>
              </w:rPr>
            </w:pPr>
            <w:r>
              <w:rPr>
                <w:rFonts w:hint="eastAsia"/>
                <w:lang w:eastAsia="zh-CN"/>
              </w:rPr>
              <w:t>办公、商业、养老、公交、街道用房等各类物业管理服务业态的物业费评估</w:t>
            </w:r>
          </w:p>
        </w:tc>
        <w:tc>
          <w:tcPr>
            <w:tcW w:w="2190" w:type="dxa"/>
            <w:vAlign w:val="center"/>
          </w:tcPr>
          <w:p w14:paraId="37C67DA3">
            <w:pPr>
              <w:spacing w:line="360" w:lineRule="auto"/>
              <w:jc w:val="center"/>
              <w:rPr>
                <w:rFonts w:hint="eastAsia" w:cs="楷体"/>
                <w:sz w:val="24"/>
                <w:szCs w:val="24"/>
                <w:lang w:eastAsia="zh-CN"/>
              </w:rPr>
            </w:pPr>
            <w:r>
              <w:rPr>
                <w:rFonts w:hint="eastAsia" w:cs="楷体"/>
                <w:sz w:val="24"/>
                <w:szCs w:val="24"/>
                <w:lang w:eastAsia="zh-CN"/>
              </w:rPr>
              <w:t>评估报告</w:t>
            </w:r>
            <w:r>
              <w:rPr>
                <w:rFonts w:hint="eastAsia" w:cs="楷体"/>
                <w:sz w:val="24"/>
                <w:szCs w:val="24"/>
                <w:lang w:eastAsia="zh-CN"/>
              </w:rPr>
              <w:br w:type="textWrapping"/>
            </w:r>
            <w:r>
              <w:rPr>
                <w:rFonts w:hint="eastAsia" w:cs="楷体"/>
                <w:sz w:val="24"/>
                <w:szCs w:val="24"/>
                <w:lang w:eastAsia="zh-CN"/>
              </w:rPr>
              <w:t>盖章版原件2份、电子版1份</w:t>
            </w:r>
          </w:p>
        </w:tc>
        <w:tc>
          <w:tcPr>
            <w:tcW w:w="1660" w:type="dxa"/>
            <w:vAlign w:val="center"/>
          </w:tcPr>
          <w:p w14:paraId="54CEB1A0">
            <w:pPr>
              <w:spacing w:line="360" w:lineRule="auto"/>
              <w:jc w:val="center"/>
              <w:rPr>
                <w:rFonts w:hint="eastAsia" w:cs="楷体"/>
                <w:sz w:val="24"/>
                <w:szCs w:val="24"/>
              </w:rPr>
            </w:pPr>
            <w:r>
              <w:rPr>
                <w:rFonts w:hint="eastAsia" w:cs="楷体"/>
                <w:sz w:val="24"/>
                <w:szCs w:val="24"/>
              </w:rPr>
              <w:t>签订合同后2个月内</w:t>
            </w:r>
          </w:p>
        </w:tc>
      </w:tr>
      <w:tr w14:paraId="64AD6AC3">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45" w:type="dxa"/>
            <w:bottom w:w="0" w:type="dxa"/>
            <w:right w:w="45" w:type="dxa"/>
          </w:tblCellMar>
        </w:tblPrEx>
        <w:trPr>
          <w:trHeight w:val="555" w:hRule="atLeast"/>
        </w:trPr>
        <w:tc>
          <w:tcPr>
            <w:tcW w:w="555" w:type="dxa"/>
            <w:vAlign w:val="center"/>
          </w:tcPr>
          <w:p w14:paraId="596A85F0">
            <w:pPr>
              <w:spacing w:line="360" w:lineRule="auto"/>
              <w:jc w:val="center"/>
              <w:rPr>
                <w:rFonts w:hint="eastAsia" w:cs="楷体"/>
                <w:sz w:val="24"/>
                <w:szCs w:val="24"/>
                <w:lang w:eastAsia="zh-CN"/>
              </w:rPr>
            </w:pPr>
            <w:r>
              <w:rPr>
                <w:rFonts w:hint="eastAsia" w:cs="楷体"/>
                <w:sz w:val="24"/>
                <w:szCs w:val="24"/>
                <w:lang w:eastAsia="zh-CN"/>
              </w:rPr>
              <w:t>7</w:t>
            </w:r>
          </w:p>
        </w:tc>
        <w:tc>
          <w:tcPr>
            <w:tcW w:w="1548" w:type="dxa"/>
            <w:vAlign w:val="center"/>
          </w:tcPr>
          <w:p w14:paraId="66A13B46">
            <w:pPr>
              <w:spacing w:line="360" w:lineRule="auto"/>
              <w:jc w:val="center"/>
              <w:rPr>
                <w:rFonts w:hint="eastAsia" w:cs="楷体"/>
                <w:sz w:val="24"/>
                <w:szCs w:val="24"/>
              </w:rPr>
            </w:pPr>
            <w:r>
              <w:rPr>
                <w:rFonts w:hint="eastAsia" w:cs="楷体"/>
                <w:sz w:val="24"/>
                <w:szCs w:val="24"/>
              </w:rPr>
              <w:t>车位租金评估</w:t>
            </w:r>
          </w:p>
        </w:tc>
        <w:tc>
          <w:tcPr>
            <w:tcW w:w="2164" w:type="dxa"/>
          </w:tcPr>
          <w:p w14:paraId="526BECA2">
            <w:pPr>
              <w:spacing w:line="360" w:lineRule="auto"/>
              <w:jc w:val="center"/>
              <w:rPr>
                <w:rFonts w:hint="eastAsia" w:cs="楷体"/>
                <w:sz w:val="24"/>
                <w:szCs w:val="24"/>
                <w:lang w:eastAsia="zh-CN"/>
              </w:rPr>
            </w:pPr>
            <w:r>
              <w:rPr>
                <w:rFonts w:hint="eastAsia"/>
                <w:lang w:eastAsia="zh-CN"/>
              </w:rPr>
              <w:t>车位出租指导价，含月租金和时租金指导价</w:t>
            </w:r>
          </w:p>
        </w:tc>
        <w:tc>
          <w:tcPr>
            <w:tcW w:w="2190" w:type="dxa"/>
            <w:vAlign w:val="center"/>
          </w:tcPr>
          <w:p w14:paraId="1161D487">
            <w:pPr>
              <w:spacing w:line="360" w:lineRule="auto"/>
              <w:jc w:val="center"/>
              <w:rPr>
                <w:rFonts w:hint="eastAsia" w:cs="楷体"/>
                <w:sz w:val="24"/>
                <w:szCs w:val="24"/>
                <w:lang w:eastAsia="zh-CN"/>
              </w:rPr>
            </w:pPr>
            <w:r>
              <w:rPr>
                <w:rFonts w:hint="eastAsia" w:cs="楷体"/>
                <w:sz w:val="24"/>
                <w:szCs w:val="24"/>
                <w:lang w:eastAsia="zh-CN"/>
              </w:rPr>
              <w:t>评估报告</w:t>
            </w:r>
            <w:r>
              <w:rPr>
                <w:rFonts w:hint="eastAsia" w:cs="楷体"/>
                <w:sz w:val="24"/>
                <w:szCs w:val="24"/>
                <w:lang w:eastAsia="zh-CN"/>
              </w:rPr>
              <w:br w:type="textWrapping"/>
            </w:r>
            <w:r>
              <w:rPr>
                <w:rFonts w:hint="eastAsia" w:cs="楷体"/>
                <w:sz w:val="24"/>
                <w:szCs w:val="24"/>
                <w:lang w:eastAsia="zh-CN"/>
              </w:rPr>
              <w:t>盖章版原件2份、电子版1份</w:t>
            </w:r>
          </w:p>
        </w:tc>
        <w:tc>
          <w:tcPr>
            <w:tcW w:w="1660" w:type="dxa"/>
            <w:vAlign w:val="center"/>
          </w:tcPr>
          <w:p w14:paraId="7122F211">
            <w:pPr>
              <w:spacing w:line="360" w:lineRule="auto"/>
              <w:jc w:val="center"/>
              <w:rPr>
                <w:rFonts w:hint="eastAsia" w:cs="楷体"/>
                <w:sz w:val="24"/>
                <w:szCs w:val="24"/>
              </w:rPr>
            </w:pPr>
            <w:r>
              <w:rPr>
                <w:rFonts w:hint="eastAsia" w:cs="楷体"/>
                <w:sz w:val="24"/>
                <w:szCs w:val="24"/>
              </w:rPr>
              <w:t>签订合同后2个月内</w:t>
            </w:r>
          </w:p>
        </w:tc>
      </w:tr>
    </w:tbl>
    <w:p w14:paraId="2CD0B97F">
      <w:pPr>
        <w:pStyle w:val="20"/>
        <w:numPr>
          <w:ilvl w:val="255"/>
          <w:numId w:val="0"/>
        </w:numPr>
        <w:spacing w:before="100" w:beforeAutospacing="1" w:line="360" w:lineRule="auto"/>
        <w:ind w:left="1418" w:leftChars="258"/>
        <w:rPr>
          <w:rFonts w:hint="eastAsia" w:ascii="宋体" w:hAnsi="宋体" w:eastAsia="宋体" w:cs="楷体"/>
        </w:rPr>
      </w:pPr>
      <w:r>
        <w:rPr>
          <w:rFonts w:hint="eastAsia" w:ascii="宋体" w:hAnsi="宋体" w:eastAsia="宋体" w:cs="楷体"/>
        </w:rPr>
        <w:t>（b）质量要求及验收标准：乙方提供的成果质量、合理性应满足国家规范要求达到国家相关规定的深度，最终成果应满足甲方签署本协议目的实现的要求。</w:t>
      </w:r>
    </w:p>
    <w:p w14:paraId="5E691267">
      <w:pPr>
        <w:pStyle w:val="20"/>
        <w:numPr>
          <w:ilvl w:val="255"/>
          <w:numId w:val="0"/>
        </w:numPr>
        <w:spacing w:before="100" w:beforeAutospacing="1" w:line="360" w:lineRule="auto"/>
        <w:ind w:left="1418" w:leftChars="258"/>
        <w:rPr>
          <w:rFonts w:hint="eastAsia"/>
        </w:rPr>
      </w:pPr>
      <w:r>
        <w:rPr>
          <w:rFonts w:hint="eastAsia" w:ascii="宋体" w:hAnsi="宋体" w:eastAsia="宋体" w:cs="楷体"/>
        </w:rPr>
        <w:t>(c)乙方提交第【1-7】项成果的截至时间,不包含向北京市、通州区政府相关部门、人员汇报时间，如遇汇报，截至时间作相应顺延。</w:t>
      </w:r>
    </w:p>
    <w:p w14:paraId="7FF3EE61">
      <w:pPr>
        <w:pStyle w:val="19"/>
        <w:numPr>
          <w:ilvl w:val="1"/>
          <w:numId w:val="2"/>
        </w:numPr>
        <w:spacing w:before="100" w:beforeAutospacing="1" w:line="360" w:lineRule="auto"/>
        <w:rPr>
          <w:rFonts w:hint="eastAsia" w:ascii="宋体" w:hAnsi="宋体" w:eastAsia="宋体" w:cs="楷体"/>
          <w:szCs w:val="24"/>
        </w:rPr>
      </w:pPr>
      <w:r>
        <w:rPr>
          <w:rFonts w:hint="eastAsia" w:ascii="宋体" w:hAnsi="宋体" w:eastAsia="宋体" w:cs="楷体"/>
          <w:szCs w:val="24"/>
        </w:rPr>
        <w:t>协议期限</w:t>
      </w:r>
    </w:p>
    <w:p w14:paraId="4C0CEDD5">
      <w:pPr>
        <w:pStyle w:val="20"/>
        <w:numPr>
          <w:ilvl w:val="2"/>
          <w:numId w:val="3"/>
        </w:numPr>
        <w:tabs>
          <w:tab w:val="left" w:pos="1276"/>
        </w:tabs>
        <w:spacing w:before="100" w:beforeAutospacing="1" w:line="360" w:lineRule="auto"/>
        <w:ind w:left="568" w:leftChars="258" w:firstLine="0"/>
        <w:rPr>
          <w:rFonts w:hint="eastAsia" w:ascii="宋体" w:hAnsi="宋体" w:eastAsia="宋体" w:cs="楷体"/>
        </w:rPr>
      </w:pPr>
      <w:r>
        <w:rPr>
          <w:rFonts w:hint="eastAsia" w:ascii="宋体" w:hAnsi="宋体" w:eastAsia="宋体" w:cs="楷体"/>
        </w:rPr>
        <w:t>双方确立本协议有效期为自本协议签署之日起至双方履行完毕本协议义务后止。</w:t>
      </w:r>
    </w:p>
    <w:p w14:paraId="270CE21E">
      <w:pPr>
        <w:pStyle w:val="20"/>
        <w:numPr>
          <w:ilvl w:val="2"/>
          <w:numId w:val="3"/>
        </w:numPr>
        <w:tabs>
          <w:tab w:val="left" w:pos="1276"/>
        </w:tabs>
        <w:spacing w:before="100" w:beforeAutospacing="1" w:line="360" w:lineRule="auto"/>
        <w:ind w:left="568" w:leftChars="258" w:firstLine="0"/>
        <w:rPr>
          <w:rFonts w:hint="eastAsia" w:ascii="宋体" w:hAnsi="宋体" w:eastAsia="宋体" w:cs="楷体"/>
        </w:rPr>
      </w:pPr>
      <w:r>
        <w:rPr>
          <w:rFonts w:hint="eastAsia" w:ascii="宋体" w:hAnsi="宋体" w:eastAsia="宋体" w:cs="楷体"/>
        </w:rPr>
        <w:t>本协议有效期结束后，合同一方尚有未履行义务的，该方仍应履行，且保密义务不受本协议有效期限制。</w:t>
      </w:r>
    </w:p>
    <w:p w14:paraId="344B554B">
      <w:pPr>
        <w:pStyle w:val="20"/>
        <w:numPr>
          <w:ilvl w:val="2"/>
          <w:numId w:val="3"/>
        </w:numPr>
        <w:tabs>
          <w:tab w:val="left" w:pos="1276"/>
        </w:tabs>
        <w:spacing w:before="100" w:beforeAutospacing="1" w:line="360" w:lineRule="auto"/>
        <w:ind w:left="568" w:leftChars="258" w:firstLine="0"/>
        <w:jc w:val="left"/>
        <w:rPr>
          <w:rFonts w:hint="eastAsia" w:ascii="宋体" w:hAnsi="宋体" w:eastAsia="宋体" w:cs="楷体"/>
        </w:rPr>
      </w:pPr>
      <w:r>
        <w:rPr>
          <w:rFonts w:hint="eastAsia" w:ascii="宋体" w:hAnsi="宋体" w:eastAsia="宋体" w:cs="楷体"/>
        </w:rPr>
        <w:t>协议生效后，若甲方单方终止或解除本协议的，应通知乙方提供已完成工作量清单，甲方按照乙方实际完成的工作量进行结算。但乙方单方终止或解除本协议的，应至少提前30个工作日书面告知甲方，如甲方在接到通知后认定乙方无正当理由而提出终止或解除协议要求的，甲方有权要求乙方退还其已支付的费用，并要求乙方按本协议服务费总额的20%向甲方支付违约金，违约金不足以弥补甲方全部损失的，乙方应继续赔偿损失与违约金的差额部分。</w:t>
      </w:r>
    </w:p>
    <w:p w14:paraId="4913E128">
      <w:pPr>
        <w:pStyle w:val="20"/>
        <w:numPr>
          <w:ilvl w:val="2"/>
          <w:numId w:val="3"/>
        </w:numPr>
        <w:tabs>
          <w:tab w:val="left" w:pos="1276"/>
        </w:tabs>
        <w:spacing w:before="100" w:beforeAutospacing="1" w:line="360" w:lineRule="auto"/>
        <w:ind w:left="568" w:leftChars="258" w:firstLine="0"/>
        <w:rPr>
          <w:rFonts w:hint="eastAsia" w:ascii="宋体" w:hAnsi="宋体" w:eastAsia="宋体" w:cs="楷体"/>
        </w:rPr>
      </w:pPr>
      <w:r>
        <w:rPr>
          <w:rFonts w:hint="eastAsia" w:ascii="宋体" w:hAnsi="宋体" w:eastAsia="宋体" w:cs="楷体"/>
        </w:rPr>
        <w:t>本协议有效期内， 由于甲方原因通知乙方中止履行本协议，经双方协商达成一致后，成果提交时间可适当顺延。</w:t>
      </w:r>
    </w:p>
    <w:p w14:paraId="1AB19D3E">
      <w:pPr>
        <w:pStyle w:val="11"/>
        <w:widowControl/>
        <w:numPr>
          <w:ilvl w:val="0"/>
          <w:numId w:val="1"/>
        </w:numPr>
        <w:spacing w:before="100" w:beforeLines="0" w:beforeAutospacing="1" w:after="240" w:afterLines="0"/>
        <w:jc w:val="left"/>
        <w:rPr>
          <w:rFonts w:hint="eastAsia" w:ascii="宋体" w:hAnsi="宋体" w:eastAsia="宋体" w:cs="楷体"/>
          <w:sz w:val="24"/>
          <w:szCs w:val="24"/>
        </w:rPr>
      </w:pPr>
      <w:bookmarkStart w:id="19" w:name="_Toc34058070"/>
      <w:bookmarkStart w:id="20" w:name="_Toc28662"/>
      <w:r>
        <w:rPr>
          <w:rFonts w:hint="eastAsia" w:ascii="宋体" w:hAnsi="宋体" w:eastAsia="宋体" w:cs="楷体"/>
          <w:sz w:val="24"/>
          <w:szCs w:val="24"/>
        </w:rPr>
        <w:t>双方责任义务</w:t>
      </w:r>
      <w:bookmarkEnd w:id="19"/>
      <w:bookmarkEnd w:id="20"/>
    </w:p>
    <w:p w14:paraId="2AEA019B">
      <w:pPr>
        <w:pStyle w:val="19"/>
        <w:numPr>
          <w:ilvl w:val="1"/>
          <w:numId w:val="3"/>
        </w:numPr>
        <w:spacing w:before="100" w:beforeAutospacing="1" w:line="360" w:lineRule="auto"/>
        <w:rPr>
          <w:rFonts w:hint="eastAsia" w:ascii="宋体" w:hAnsi="宋体" w:eastAsia="宋体" w:cs="楷体"/>
          <w:szCs w:val="24"/>
          <w:shd w:val="clear" w:color="auto" w:fill="FFFFFF"/>
        </w:rPr>
      </w:pPr>
      <w:r>
        <w:rPr>
          <w:rFonts w:hint="eastAsia" w:ascii="宋体" w:hAnsi="宋体" w:eastAsia="宋体" w:cs="楷体"/>
          <w:szCs w:val="24"/>
        </w:rPr>
        <w:t>甲方责任义务：</w:t>
      </w:r>
    </w:p>
    <w:p w14:paraId="6E4C65FB">
      <w:pPr>
        <w:pStyle w:val="20"/>
        <w:numPr>
          <w:ilvl w:val="2"/>
          <w:numId w:val="3"/>
        </w:numPr>
        <w:tabs>
          <w:tab w:val="left" w:pos="1276"/>
        </w:tabs>
        <w:spacing w:before="100" w:beforeAutospacing="1" w:line="360" w:lineRule="auto"/>
        <w:ind w:left="568" w:leftChars="258" w:firstLine="0"/>
        <w:rPr>
          <w:rFonts w:hint="eastAsia" w:ascii="宋体" w:hAnsi="宋体" w:eastAsia="宋体" w:cs="楷体"/>
        </w:rPr>
      </w:pPr>
      <w:r>
        <w:rPr>
          <w:rFonts w:hint="eastAsia" w:ascii="宋体" w:hAnsi="宋体" w:eastAsia="宋体" w:cs="楷体"/>
        </w:rPr>
        <w:t>对项目进行总体业务指导，并监督项目进度与成果质量；</w:t>
      </w:r>
    </w:p>
    <w:p w14:paraId="03F143C0">
      <w:pPr>
        <w:pStyle w:val="20"/>
        <w:numPr>
          <w:ilvl w:val="2"/>
          <w:numId w:val="3"/>
        </w:numPr>
        <w:tabs>
          <w:tab w:val="left" w:pos="1276"/>
        </w:tabs>
        <w:spacing w:before="100" w:beforeAutospacing="1" w:line="360" w:lineRule="auto"/>
        <w:ind w:left="568" w:leftChars="258" w:firstLine="0"/>
        <w:rPr>
          <w:rFonts w:hint="eastAsia" w:ascii="宋体" w:hAnsi="宋体" w:eastAsia="宋体" w:cs="楷体"/>
        </w:rPr>
      </w:pPr>
      <w:r>
        <w:rPr>
          <w:rFonts w:hint="eastAsia" w:ascii="宋体" w:hAnsi="宋体" w:eastAsia="宋体" w:cs="楷体"/>
        </w:rPr>
        <w:t>安排专人组成项目小组，指定【</w:t>
      </w:r>
      <w:r>
        <w:rPr>
          <w:rFonts w:hint="eastAsia" w:ascii="宋体" w:hAnsi="宋体" w:eastAsia="宋体" w:cs="楷体"/>
          <w:u w:val="single"/>
        </w:rPr>
        <w:t xml:space="preserve">  </w:t>
      </w:r>
      <w:r>
        <w:rPr>
          <w:rFonts w:hint="eastAsia" w:ascii="宋体" w:hAnsi="宋体" w:eastAsia="宋体" w:cs="楷体"/>
          <w:u w:val="single"/>
          <w:lang w:val="en-US" w:eastAsia="zh-CN"/>
        </w:rPr>
        <w:t>刘建霞</w:t>
      </w:r>
      <w:r>
        <w:rPr>
          <w:rFonts w:hint="eastAsia" w:ascii="宋体" w:hAnsi="宋体" w:eastAsia="宋体" w:cs="楷体"/>
          <w:u w:val="single"/>
        </w:rPr>
        <w:t xml:space="preserve"> </w:t>
      </w:r>
      <w:r>
        <w:rPr>
          <w:rFonts w:hint="eastAsia" w:ascii="宋体" w:hAnsi="宋体" w:eastAsia="宋体" w:cs="楷体"/>
        </w:rPr>
        <w:t>】作为本协议对接负责人，代表甲方执行本协议有关事宜；</w:t>
      </w:r>
    </w:p>
    <w:p w14:paraId="59C0D013">
      <w:pPr>
        <w:pStyle w:val="20"/>
        <w:numPr>
          <w:ilvl w:val="2"/>
          <w:numId w:val="3"/>
        </w:numPr>
        <w:tabs>
          <w:tab w:val="left" w:pos="1276"/>
        </w:tabs>
        <w:spacing w:before="100" w:beforeAutospacing="1" w:line="360" w:lineRule="auto"/>
        <w:ind w:left="568" w:leftChars="258" w:firstLine="0"/>
        <w:rPr>
          <w:rFonts w:hint="eastAsia" w:ascii="宋体" w:hAnsi="宋体" w:eastAsia="宋体" w:cs="楷体"/>
        </w:rPr>
      </w:pPr>
      <w:r>
        <w:rPr>
          <w:rFonts w:hint="eastAsia" w:ascii="宋体" w:hAnsi="宋体" w:eastAsia="宋体" w:cs="楷体"/>
        </w:rPr>
        <w:t>根据所承担的内容确定项目总体思路及项目研究方向，并对项目研究成果提出完善和修改意见；</w:t>
      </w:r>
    </w:p>
    <w:p w14:paraId="54FB5300">
      <w:pPr>
        <w:pStyle w:val="20"/>
        <w:numPr>
          <w:ilvl w:val="2"/>
          <w:numId w:val="3"/>
        </w:numPr>
        <w:tabs>
          <w:tab w:val="left" w:pos="1276"/>
        </w:tabs>
        <w:spacing w:before="100" w:beforeAutospacing="1" w:line="360" w:lineRule="auto"/>
        <w:ind w:left="568" w:leftChars="258" w:firstLine="0"/>
        <w:rPr>
          <w:rFonts w:hint="eastAsia" w:ascii="宋体" w:hAnsi="宋体" w:eastAsia="宋体" w:cs="楷体"/>
        </w:rPr>
      </w:pPr>
      <w:r>
        <w:rPr>
          <w:rFonts w:hint="eastAsia" w:ascii="宋体" w:hAnsi="宋体" w:eastAsia="宋体" w:cs="楷体"/>
        </w:rPr>
        <w:t>为乙方工作提供必须的工作资料及其他有关研究的帮助；</w:t>
      </w:r>
    </w:p>
    <w:p w14:paraId="48AC08A2">
      <w:pPr>
        <w:pStyle w:val="20"/>
        <w:numPr>
          <w:ilvl w:val="2"/>
          <w:numId w:val="3"/>
        </w:numPr>
        <w:tabs>
          <w:tab w:val="left" w:pos="1276"/>
        </w:tabs>
        <w:spacing w:before="100" w:beforeAutospacing="1" w:line="360" w:lineRule="auto"/>
        <w:ind w:left="568" w:leftChars="258" w:firstLine="0"/>
        <w:rPr>
          <w:rFonts w:hint="eastAsia" w:ascii="宋体" w:hAnsi="宋体" w:eastAsia="宋体" w:cs="楷体"/>
        </w:rPr>
      </w:pPr>
      <w:r>
        <w:rPr>
          <w:rFonts w:hint="eastAsia" w:ascii="宋体" w:hAnsi="宋体" w:eastAsia="宋体" w:cs="楷体"/>
        </w:rPr>
        <w:t>负责组织召开相关汇报会、座谈会和评审会；</w:t>
      </w:r>
    </w:p>
    <w:p w14:paraId="0AD3FC55">
      <w:pPr>
        <w:pStyle w:val="20"/>
        <w:numPr>
          <w:ilvl w:val="2"/>
          <w:numId w:val="3"/>
        </w:numPr>
        <w:tabs>
          <w:tab w:val="left" w:pos="1276"/>
        </w:tabs>
        <w:spacing w:before="100" w:beforeAutospacing="1" w:line="360" w:lineRule="auto"/>
        <w:ind w:left="568" w:leftChars="258" w:firstLine="0"/>
        <w:rPr>
          <w:rFonts w:hint="eastAsia" w:ascii="宋体" w:hAnsi="宋体" w:eastAsia="宋体" w:cs="楷体"/>
        </w:rPr>
      </w:pPr>
      <w:r>
        <w:rPr>
          <w:rFonts w:hint="eastAsia" w:ascii="宋体" w:hAnsi="宋体" w:eastAsia="宋体" w:cs="楷体"/>
        </w:rPr>
        <w:t>按协议约定支付乙方项目费用。</w:t>
      </w:r>
    </w:p>
    <w:p w14:paraId="0183F551">
      <w:pPr>
        <w:pStyle w:val="19"/>
        <w:numPr>
          <w:ilvl w:val="1"/>
          <w:numId w:val="3"/>
        </w:numPr>
        <w:spacing w:before="100" w:beforeAutospacing="1" w:line="360" w:lineRule="auto"/>
        <w:rPr>
          <w:rFonts w:hint="eastAsia" w:ascii="宋体" w:hAnsi="宋体" w:eastAsia="宋体" w:cs="楷体"/>
          <w:szCs w:val="24"/>
        </w:rPr>
      </w:pPr>
      <w:r>
        <w:rPr>
          <w:rFonts w:hint="eastAsia" w:ascii="宋体" w:hAnsi="宋体" w:eastAsia="宋体" w:cs="楷体"/>
          <w:szCs w:val="24"/>
        </w:rPr>
        <w:t>乙方责任义务：</w:t>
      </w:r>
    </w:p>
    <w:p w14:paraId="3E66CCE3">
      <w:pPr>
        <w:pStyle w:val="20"/>
        <w:numPr>
          <w:ilvl w:val="2"/>
          <w:numId w:val="3"/>
        </w:numPr>
        <w:tabs>
          <w:tab w:val="left" w:pos="1276"/>
        </w:tabs>
        <w:spacing w:before="100" w:beforeAutospacing="1" w:line="360" w:lineRule="auto"/>
        <w:ind w:left="568" w:leftChars="258" w:firstLine="0"/>
        <w:rPr>
          <w:rFonts w:hint="eastAsia" w:ascii="宋体" w:hAnsi="宋体" w:eastAsia="宋体" w:cs="楷体"/>
        </w:rPr>
      </w:pPr>
      <w:r>
        <w:rPr>
          <w:rFonts w:hint="eastAsia" w:ascii="宋体" w:hAnsi="宋体" w:eastAsia="宋体" w:cs="楷体"/>
        </w:rPr>
        <w:t>安排专人组成项目小组，并根据甲方要求提供汇报、技术沟通等服务（具体服务形式包括但不限于汇报会、技术沟通会等）。乙方确保其自身及服务人员始终具备本协议的资质和能力，指定</w:t>
      </w:r>
      <w:r>
        <w:rPr>
          <w:rFonts w:hint="eastAsia" w:ascii="宋体" w:hAnsi="宋体" w:eastAsia="宋体" w:cs="楷体"/>
          <w:color w:val="000000"/>
        </w:rPr>
        <w:t>【叶凌】</w:t>
      </w:r>
      <w:r>
        <w:rPr>
          <w:rFonts w:hint="eastAsia" w:ascii="宋体" w:hAnsi="宋体" w:eastAsia="宋体" w:cs="楷体"/>
        </w:rPr>
        <w:t>作为本协议对接负责人，代表乙方执行本协议有关事项；</w:t>
      </w:r>
    </w:p>
    <w:p w14:paraId="08CEFD9B">
      <w:pPr>
        <w:pStyle w:val="20"/>
        <w:numPr>
          <w:ilvl w:val="2"/>
          <w:numId w:val="3"/>
        </w:numPr>
        <w:tabs>
          <w:tab w:val="left" w:pos="1276"/>
        </w:tabs>
        <w:spacing w:before="100" w:beforeAutospacing="1" w:line="360" w:lineRule="auto"/>
        <w:ind w:left="568" w:leftChars="258" w:firstLine="0"/>
        <w:jc w:val="left"/>
        <w:rPr>
          <w:rFonts w:hint="eastAsia" w:ascii="宋体" w:hAnsi="宋体" w:eastAsia="宋体" w:cs="楷体"/>
        </w:rPr>
      </w:pPr>
      <w:r>
        <w:rPr>
          <w:rFonts w:hint="eastAsia" w:ascii="宋体" w:hAnsi="宋体" w:eastAsia="宋体" w:cs="楷体"/>
        </w:rPr>
        <w:t>乙方确保履行本协议的人员将持续、全程提供服务，未经甲方书面同意，乙方不得擅自调整人员，但甲方认为乙方人员不合格的，甲方有权要求乙方更换；</w:t>
      </w:r>
    </w:p>
    <w:p w14:paraId="07E3D9C9">
      <w:pPr>
        <w:pStyle w:val="20"/>
        <w:numPr>
          <w:ilvl w:val="2"/>
          <w:numId w:val="3"/>
        </w:numPr>
        <w:tabs>
          <w:tab w:val="left" w:pos="1276"/>
        </w:tabs>
        <w:spacing w:before="100" w:beforeAutospacing="1" w:line="360" w:lineRule="auto"/>
        <w:ind w:left="568" w:leftChars="258" w:firstLine="0"/>
        <w:jc w:val="left"/>
        <w:rPr>
          <w:rFonts w:hint="eastAsia" w:ascii="宋体" w:hAnsi="宋体" w:eastAsia="宋体" w:cs="楷体"/>
        </w:rPr>
      </w:pPr>
      <w:r>
        <w:rPr>
          <w:rFonts w:hint="eastAsia" w:ascii="宋体" w:hAnsi="宋体" w:eastAsia="宋体" w:cs="楷体"/>
        </w:rPr>
        <w:t>组织和开展相关调研活动；</w:t>
      </w:r>
    </w:p>
    <w:p w14:paraId="4B26A985">
      <w:pPr>
        <w:pStyle w:val="20"/>
        <w:numPr>
          <w:ilvl w:val="2"/>
          <w:numId w:val="3"/>
        </w:numPr>
        <w:tabs>
          <w:tab w:val="left" w:pos="1276"/>
        </w:tabs>
        <w:spacing w:before="100" w:beforeAutospacing="1" w:line="360" w:lineRule="auto"/>
        <w:ind w:left="568" w:leftChars="258" w:firstLine="0"/>
        <w:jc w:val="left"/>
        <w:rPr>
          <w:rFonts w:hint="eastAsia" w:ascii="宋体" w:hAnsi="宋体" w:eastAsia="宋体" w:cs="楷体"/>
        </w:rPr>
      </w:pPr>
      <w:r>
        <w:rPr>
          <w:rFonts w:hint="eastAsia" w:ascii="宋体" w:hAnsi="宋体" w:eastAsia="宋体" w:cs="楷体"/>
        </w:rPr>
        <w:t>未经甲方事先书面同意，不得缺席相关会议，参会的乙方应在会后提交会议记录等文件；</w:t>
      </w:r>
    </w:p>
    <w:p w14:paraId="25422152">
      <w:pPr>
        <w:pStyle w:val="20"/>
        <w:numPr>
          <w:ilvl w:val="2"/>
          <w:numId w:val="3"/>
        </w:numPr>
        <w:tabs>
          <w:tab w:val="left" w:pos="1276"/>
        </w:tabs>
        <w:spacing w:before="100" w:beforeAutospacing="1" w:line="360" w:lineRule="auto"/>
        <w:ind w:left="568" w:leftChars="258" w:firstLine="0"/>
        <w:jc w:val="left"/>
        <w:rPr>
          <w:rFonts w:hint="eastAsia" w:ascii="宋体" w:hAnsi="宋体" w:eastAsia="宋体" w:cs="楷体"/>
        </w:rPr>
      </w:pPr>
      <w:r>
        <w:rPr>
          <w:rFonts w:hint="eastAsia" w:ascii="宋体" w:hAnsi="宋体" w:eastAsia="宋体" w:cs="楷体"/>
        </w:rPr>
        <w:t>乙方应为甲方提供全面的咨询服务、业务指导、技术说明和工作交底，根据甲方需求进行汇报；</w:t>
      </w:r>
    </w:p>
    <w:p w14:paraId="7504FDA2">
      <w:pPr>
        <w:pStyle w:val="20"/>
        <w:numPr>
          <w:ilvl w:val="2"/>
          <w:numId w:val="3"/>
        </w:numPr>
        <w:tabs>
          <w:tab w:val="left" w:pos="1276"/>
        </w:tabs>
        <w:spacing w:before="100" w:beforeAutospacing="1" w:line="360" w:lineRule="auto"/>
        <w:ind w:left="568" w:leftChars="258" w:firstLine="0"/>
        <w:jc w:val="left"/>
        <w:rPr>
          <w:rFonts w:hint="eastAsia" w:ascii="宋体" w:hAnsi="宋体" w:eastAsia="宋体" w:cs="楷体"/>
        </w:rPr>
      </w:pPr>
      <w:r>
        <w:rPr>
          <w:rFonts w:hint="eastAsia" w:ascii="宋体" w:hAnsi="宋体" w:eastAsia="宋体" w:cs="楷体"/>
        </w:rPr>
        <w:t>根据协议约定按照进度计划或甲方要求完成项目研究报告的撰写及相关成果的制作。乙方应确保其工作成果不偏离甲方总体思路和研究方向，符合本协议质量要求，乙方对工作成果的合法性、完整性、正确性负责</w:t>
      </w:r>
      <w:r>
        <w:rPr>
          <w:rFonts w:hint="eastAsia" w:ascii="宋体" w:hAnsi="宋体" w:eastAsia="宋体" w:cs="楷体"/>
          <w:lang w:val="zh-TW" w:eastAsia="zh-TW"/>
        </w:rPr>
        <w:t>；</w:t>
      </w:r>
    </w:p>
    <w:p w14:paraId="5B832E8E">
      <w:pPr>
        <w:pStyle w:val="20"/>
        <w:numPr>
          <w:ilvl w:val="2"/>
          <w:numId w:val="3"/>
        </w:numPr>
        <w:tabs>
          <w:tab w:val="left" w:pos="1276"/>
        </w:tabs>
        <w:spacing w:before="100" w:beforeAutospacing="1" w:line="360" w:lineRule="auto"/>
        <w:ind w:left="568" w:leftChars="258" w:firstLine="0"/>
        <w:jc w:val="left"/>
        <w:rPr>
          <w:rFonts w:hint="eastAsia" w:ascii="宋体" w:hAnsi="宋体" w:eastAsia="宋体" w:cs="楷体"/>
        </w:rPr>
      </w:pPr>
      <w:r>
        <w:rPr>
          <w:rFonts w:hint="eastAsia" w:ascii="宋体" w:hAnsi="宋体" w:eastAsia="宋体" w:cs="楷体"/>
        </w:rPr>
        <w:t>将协议履行过程中与工作成果相关的基础资料、调研材料、图表数据等过程性文件进行分类汇总，并与工作成果一并移交；</w:t>
      </w:r>
    </w:p>
    <w:p w14:paraId="529DDD6B">
      <w:pPr>
        <w:pStyle w:val="20"/>
        <w:numPr>
          <w:ilvl w:val="2"/>
          <w:numId w:val="3"/>
        </w:numPr>
        <w:tabs>
          <w:tab w:val="left" w:pos="1276"/>
        </w:tabs>
        <w:spacing w:before="100" w:beforeAutospacing="1" w:line="360" w:lineRule="auto"/>
        <w:ind w:left="568" w:leftChars="258" w:firstLine="0"/>
        <w:jc w:val="left"/>
        <w:rPr>
          <w:rFonts w:hint="eastAsia" w:ascii="宋体" w:hAnsi="宋体" w:eastAsia="宋体" w:cs="楷体"/>
        </w:rPr>
      </w:pPr>
      <w:r>
        <w:rPr>
          <w:rFonts w:hint="eastAsia" w:ascii="宋体" w:hAnsi="宋体" w:eastAsia="宋体" w:cs="楷体"/>
        </w:rPr>
        <w:t>根据甲方修改意见，完善工作成果，直至甲方书面验收合格；</w:t>
      </w:r>
    </w:p>
    <w:p w14:paraId="0D4437ED">
      <w:pPr>
        <w:pStyle w:val="20"/>
        <w:numPr>
          <w:ilvl w:val="2"/>
          <w:numId w:val="3"/>
        </w:numPr>
        <w:tabs>
          <w:tab w:val="left" w:pos="1276"/>
        </w:tabs>
        <w:spacing w:before="100" w:beforeAutospacing="1" w:line="360" w:lineRule="auto"/>
        <w:ind w:left="568" w:leftChars="258" w:firstLine="0"/>
        <w:jc w:val="left"/>
        <w:rPr>
          <w:rFonts w:hint="eastAsia" w:ascii="宋体" w:hAnsi="宋体" w:eastAsia="宋体" w:cs="楷体"/>
        </w:rPr>
      </w:pPr>
      <w:r>
        <w:rPr>
          <w:rFonts w:hint="eastAsia" w:ascii="宋体" w:hAnsi="宋体" w:eastAsia="宋体" w:cs="楷体"/>
        </w:rPr>
        <w:t>在未得到甲方事先书面同意的情况下，乙方不得向任何第三方分包或转包本咨询项目。</w:t>
      </w:r>
    </w:p>
    <w:p w14:paraId="0D2241B6">
      <w:pPr>
        <w:pStyle w:val="11"/>
        <w:widowControl/>
        <w:numPr>
          <w:ilvl w:val="0"/>
          <w:numId w:val="1"/>
        </w:numPr>
        <w:spacing w:before="100" w:beforeLines="0" w:beforeAutospacing="1" w:after="240" w:afterLines="0"/>
        <w:jc w:val="left"/>
        <w:rPr>
          <w:rFonts w:hint="eastAsia" w:ascii="宋体" w:hAnsi="宋体" w:eastAsia="宋体" w:cs="楷体"/>
          <w:sz w:val="24"/>
          <w:szCs w:val="24"/>
        </w:rPr>
      </w:pPr>
      <w:bookmarkStart w:id="21" w:name="_Toc18769"/>
      <w:bookmarkStart w:id="22" w:name="_Toc34058071"/>
      <w:r>
        <w:rPr>
          <w:rFonts w:hint="eastAsia" w:ascii="宋体" w:hAnsi="宋体" w:eastAsia="宋体" w:cs="楷体"/>
          <w:sz w:val="24"/>
          <w:szCs w:val="24"/>
        </w:rPr>
        <w:t>服务费用及结算方式</w:t>
      </w:r>
      <w:bookmarkEnd w:id="21"/>
      <w:bookmarkEnd w:id="22"/>
    </w:p>
    <w:p w14:paraId="763FA8F3">
      <w:pPr>
        <w:pStyle w:val="19"/>
        <w:numPr>
          <w:ilvl w:val="1"/>
          <w:numId w:val="3"/>
        </w:numPr>
        <w:spacing w:before="100" w:beforeAutospacing="1" w:line="360" w:lineRule="auto"/>
        <w:jc w:val="both"/>
        <w:rPr>
          <w:rFonts w:hint="eastAsia" w:ascii="宋体" w:hAnsi="宋体" w:eastAsia="宋体" w:cs="宋体"/>
          <w:szCs w:val="24"/>
        </w:rPr>
      </w:pPr>
      <w:r>
        <w:rPr>
          <w:rFonts w:hint="eastAsia" w:ascii="宋体" w:hAnsi="宋体" w:eastAsia="宋体" w:cs="宋体"/>
          <w:szCs w:val="24"/>
        </w:rPr>
        <w:t>本协议项下服务费总额为人民币（大写）</w:t>
      </w:r>
      <w:r>
        <w:rPr>
          <w:rFonts w:hint="eastAsia" w:ascii="宋体" w:hAnsi="宋体" w:eastAsia="宋体" w:cs="宋体"/>
          <w:szCs w:val="24"/>
          <w:u w:val="single"/>
        </w:rPr>
        <w:t>【捌万伍仟元】整</w:t>
      </w:r>
      <w:r>
        <w:rPr>
          <w:rFonts w:hint="eastAsia" w:ascii="宋体" w:hAnsi="宋体" w:eastAsia="宋体" w:cs="宋体"/>
          <w:szCs w:val="24"/>
        </w:rPr>
        <w:t>（小写：￥</w:t>
      </w:r>
      <w:r>
        <w:rPr>
          <w:rFonts w:hint="eastAsia" w:ascii="宋体" w:hAnsi="宋体" w:eastAsia="宋体" w:cs="宋体"/>
          <w:szCs w:val="24"/>
          <w:u w:val="single"/>
        </w:rPr>
        <w:t>【85000】元</w:t>
      </w:r>
      <w:r>
        <w:rPr>
          <w:rFonts w:hint="eastAsia" w:ascii="宋体" w:hAnsi="宋体" w:eastAsia="宋体" w:cs="宋体"/>
          <w:szCs w:val="24"/>
        </w:rPr>
        <w:t>）（含税），税率</w:t>
      </w:r>
      <w:r>
        <w:rPr>
          <w:rFonts w:hint="eastAsia" w:ascii="宋体" w:hAnsi="宋体" w:eastAsia="宋体" w:cs="宋体"/>
          <w:szCs w:val="24"/>
          <w:u w:val="single"/>
        </w:rPr>
        <w:t>【6】%</w:t>
      </w:r>
      <w:r>
        <w:rPr>
          <w:rFonts w:hint="eastAsia" w:ascii="宋体" w:hAnsi="宋体" w:eastAsia="宋体" w:cs="宋体"/>
          <w:szCs w:val="24"/>
        </w:rPr>
        <w:t>。</w:t>
      </w:r>
    </w:p>
    <w:p w14:paraId="03415736">
      <w:pPr>
        <w:pStyle w:val="19"/>
        <w:tabs>
          <w:tab w:val="clear" w:pos="851"/>
        </w:tabs>
        <w:spacing w:before="100" w:beforeAutospacing="1" w:line="360" w:lineRule="auto"/>
        <w:ind w:left="850" w:firstLine="0"/>
        <w:jc w:val="both"/>
        <w:rPr>
          <w:rFonts w:hint="eastAsia" w:ascii="宋体" w:hAnsi="宋体" w:eastAsia="宋体" w:cs="宋体"/>
          <w:szCs w:val="24"/>
        </w:rPr>
      </w:pPr>
      <w:r>
        <w:rPr>
          <w:rFonts w:hint="eastAsia" w:ascii="宋体" w:hAnsi="宋体" w:eastAsia="宋体" w:cs="宋体"/>
          <w:szCs w:val="24"/>
        </w:rPr>
        <w:t>其中，不含税金额为人民币（大写）</w:t>
      </w:r>
      <w:r>
        <w:rPr>
          <w:rFonts w:hint="eastAsia" w:ascii="宋体" w:hAnsi="宋体" w:eastAsia="宋体" w:cs="宋体"/>
          <w:szCs w:val="24"/>
          <w:u w:val="single"/>
        </w:rPr>
        <w:t>【捌万零壹佰捌拾捌元陆角捌分】</w:t>
      </w:r>
      <w:r>
        <w:rPr>
          <w:rFonts w:hint="eastAsia" w:ascii="宋体" w:hAnsi="宋体" w:eastAsia="宋体" w:cs="宋体"/>
          <w:szCs w:val="24"/>
        </w:rPr>
        <w:t>（小写：￥</w:t>
      </w:r>
      <w:r>
        <w:rPr>
          <w:rFonts w:hint="eastAsia" w:ascii="宋体" w:hAnsi="宋体" w:eastAsia="宋体" w:cs="宋体"/>
          <w:szCs w:val="24"/>
          <w:u w:val="single"/>
        </w:rPr>
        <w:t>【80188.68】元</w:t>
      </w:r>
      <w:r>
        <w:rPr>
          <w:rFonts w:hint="eastAsia" w:ascii="宋体" w:hAnsi="宋体" w:eastAsia="宋体" w:cs="宋体"/>
          <w:szCs w:val="24"/>
        </w:rPr>
        <w:t>）；增值税金额为人民币（大写）</w:t>
      </w:r>
      <w:r>
        <w:rPr>
          <w:rFonts w:hint="eastAsia" w:ascii="宋体" w:hAnsi="宋体" w:eastAsia="宋体" w:cs="宋体"/>
          <w:szCs w:val="24"/>
          <w:u w:val="single"/>
        </w:rPr>
        <w:t>【肆仟捌佰壹拾壹元叁角贰分】</w:t>
      </w:r>
      <w:r>
        <w:rPr>
          <w:rFonts w:hint="eastAsia" w:ascii="宋体" w:hAnsi="宋体" w:eastAsia="宋体" w:cs="宋体"/>
          <w:szCs w:val="24"/>
        </w:rPr>
        <w:t>（小写：￥</w:t>
      </w:r>
      <w:r>
        <w:rPr>
          <w:rFonts w:hint="eastAsia" w:ascii="宋体" w:hAnsi="宋体" w:eastAsia="宋体" w:cs="宋体"/>
          <w:szCs w:val="24"/>
          <w:u w:val="single"/>
        </w:rPr>
        <w:t>【4811.32】元</w:t>
      </w:r>
      <w:r>
        <w:rPr>
          <w:rFonts w:hint="eastAsia" w:ascii="宋体" w:hAnsi="宋体" w:eastAsia="宋体" w:cs="宋体"/>
          <w:szCs w:val="24"/>
        </w:rPr>
        <w:t>）。包括各项服务费用、材料费、打印装订费、快递费、培训费、交通费、餐费、住宿费、差旅费及提交各工作成果所产生的全部费用。除本协议另有明确约定外，甲方无需向乙方另行支付其他费用。</w:t>
      </w:r>
    </w:p>
    <w:p w14:paraId="7CBB5980">
      <w:pPr>
        <w:pStyle w:val="19"/>
        <w:tabs>
          <w:tab w:val="clear" w:pos="851"/>
        </w:tabs>
        <w:spacing w:before="100" w:beforeAutospacing="1" w:line="360" w:lineRule="auto"/>
        <w:ind w:left="850" w:firstLine="0"/>
        <w:jc w:val="both"/>
        <w:rPr>
          <w:rFonts w:hint="eastAsia" w:ascii="宋体" w:hAnsi="宋体" w:eastAsia="宋体" w:cs="宋体"/>
          <w:szCs w:val="24"/>
        </w:rPr>
      </w:pPr>
      <w:r>
        <w:rPr>
          <w:rFonts w:hint="eastAsia" w:ascii="宋体" w:hAnsi="宋体" w:eastAsia="宋体" w:cs="宋体"/>
          <w:szCs w:val="24"/>
        </w:rPr>
        <w:t>如遇国家税率调整，本协议不含税金额保持不变，税率按照最新政策执行。</w:t>
      </w:r>
    </w:p>
    <w:p w14:paraId="3A658E1F">
      <w:pPr>
        <w:spacing w:line="360" w:lineRule="auto"/>
        <w:ind w:left="1421" w:leftChars="30" w:hanging="1355"/>
        <w:outlineLvl w:val="1"/>
        <w:rPr>
          <w:rFonts w:hint="eastAsia"/>
          <w:sz w:val="24"/>
          <w:szCs w:val="24"/>
          <w:lang w:eastAsia="zh-CN"/>
        </w:rPr>
      </w:pPr>
      <w:r>
        <w:rPr>
          <w:rFonts w:hint="eastAsia"/>
          <w:sz w:val="24"/>
          <w:szCs w:val="24"/>
          <w:lang w:eastAsia="zh-CN"/>
        </w:rPr>
        <w:t>3.2   支付方式：</w:t>
      </w:r>
      <w:r>
        <w:rPr>
          <w:rFonts w:hint="eastAsia"/>
          <w:sz w:val="24"/>
          <w:szCs w:val="24"/>
          <w:u w:val="single"/>
          <w:lang w:eastAsia="zh-CN"/>
        </w:rPr>
        <w:t>一次性支付</w:t>
      </w:r>
      <w:r>
        <w:rPr>
          <w:rFonts w:hint="eastAsia"/>
          <w:sz w:val="24"/>
          <w:szCs w:val="24"/>
          <w:lang w:eastAsia="zh-CN"/>
        </w:rPr>
        <w:t xml:space="preserve">        </w:t>
      </w:r>
    </w:p>
    <w:p w14:paraId="7C629B0D">
      <w:pPr>
        <w:pStyle w:val="20"/>
        <w:spacing w:before="100" w:beforeAutospacing="1" w:line="360" w:lineRule="auto"/>
        <w:ind w:left="0" w:firstLine="0"/>
        <w:jc w:val="left"/>
        <w:rPr>
          <w:rFonts w:hint="eastAsia" w:ascii="宋体" w:hAnsi="宋体" w:eastAsia="宋体" w:cs="宋体"/>
          <w:color w:val="FF0000"/>
        </w:rPr>
      </w:pPr>
      <w:r>
        <w:rPr>
          <w:rFonts w:hint="eastAsia" w:ascii="宋体" w:hAnsi="宋体" w:eastAsia="宋体" w:cs="楷体"/>
          <w:b/>
          <w:bCs/>
          <w:color w:val="FF0000"/>
        </w:rPr>
        <w:t xml:space="preserve">      </w:t>
      </w:r>
      <w:r>
        <w:rPr>
          <w:rFonts w:hint="eastAsia" w:ascii="宋体" w:hAnsi="宋体" w:eastAsia="宋体" w:cs="宋体"/>
        </w:rPr>
        <w:t>乙方按本协议约定向甲方提交通过甲方验收的全部最终成果（即【</w:t>
      </w:r>
      <w:r>
        <w:rPr>
          <w:rFonts w:hint="eastAsia" w:ascii="宋体" w:hAnsi="宋体" w:eastAsia="宋体" w:cs="宋体"/>
          <w:u w:val="single"/>
        </w:rPr>
        <w:t xml:space="preserve"> 1自持办公租金评估报告；2可售办公售价评估报告；3 商业租金评估报告；4 商业出售价格评估报告；5 机构养老底租评估报告；6 物业费评估报告；7 车位租金评估报告； </w:t>
      </w:r>
      <w:r>
        <w:rPr>
          <w:rFonts w:hint="eastAsia" w:ascii="宋体" w:hAnsi="宋体" w:eastAsia="宋体" w:cs="宋体"/>
        </w:rPr>
        <w:t>】），15个工作日内，甲方向乙方一次性支付全部服务费。</w:t>
      </w:r>
    </w:p>
    <w:p w14:paraId="43BB0388">
      <w:pPr>
        <w:pStyle w:val="19"/>
        <w:spacing w:line="360" w:lineRule="auto"/>
        <w:rPr>
          <w:rFonts w:hint="eastAsia" w:ascii="宋体" w:hAnsi="宋体" w:eastAsia="宋体" w:cs="宋体"/>
          <w:szCs w:val="24"/>
        </w:rPr>
      </w:pPr>
      <w:r>
        <w:rPr>
          <w:rFonts w:hint="eastAsia" w:ascii="宋体" w:hAnsi="宋体" w:eastAsia="宋体" w:cs="宋体"/>
          <w:szCs w:val="24"/>
        </w:rPr>
        <w:t>3.3    甲方通过银行转账方式向乙方支付服务费，乙方的指定银行账户信息（乙方应对下列账户的真实性、安全性、准确性负责）：</w:t>
      </w:r>
    </w:p>
    <w:p w14:paraId="788341C2">
      <w:pPr>
        <w:pStyle w:val="21"/>
        <w:spacing w:line="360" w:lineRule="auto"/>
        <w:ind w:leftChars="387" w:firstLine="440"/>
        <w:rPr>
          <w:rFonts w:hint="eastAsia" w:ascii="宋体" w:hAnsi="宋体" w:eastAsia="宋体" w:cs="宋体"/>
        </w:rPr>
      </w:pPr>
      <w:r>
        <w:rPr>
          <w:rFonts w:hint="eastAsia" w:ascii="宋体" w:hAnsi="宋体" w:eastAsia="宋体" w:cs="宋体"/>
        </w:rPr>
        <w:t xml:space="preserve">账户名：     </w:t>
      </w:r>
      <w:r>
        <w:rPr>
          <w:rFonts w:hint="eastAsia" w:ascii="宋体" w:hAnsi="宋体" w:eastAsia="宋体" w:cs="宋体"/>
          <w:bCs/>
          <w:u w:val="single"/>
        </w:rPr>
        <w:t>【北京康正宏基房地产评估有限公司】</w:t>
      </w:r>
      <w:r>
        <w:rPr>
          <w:rFonts w:hint="eastAsia" w:ascii="宋体" w:hAnsi="宋体" w:eastAsia="宋体" w:cs="宋体"/>
        </w:rPr>
        <w:t xml:space="preserve">                   </w:t>
      </w:r>
    </w:p>
    <w:p w14:paraId="5E7EA902">
      <w:pPr>
        <w:pStyle w:val="21"/>
        <w:spacing w:line="360" w:lineRule="auto"/>
        <w:ind w:leftChars="387" w:firstLine="440"/>
        <w:rPr>
          <w:rFonts w:hint="eastAsia" w:ascii="宋体" w:hAnsi="宋体" w:eastAsia="宋体" w:cs="宋体"/>
        </w:rPr>
      </w:pPr>
      <w:r>
        <w:rPr>
          <w:rFonts w:hint="eastAsia" w:ascii="宋体" w:hAnsi="宋体" w:eastAsia="宋体" w:cs="宋体"/>
        </w:rPr>
        <w:t xml:space="preserve">账户号：     </w:t>
      </w:r>
      <w:r>
        <w:rPr>
          <w:rFonts w:hint="eastAsia" w:ascii="宋体" w:hAnsi="宋体" w:eastAsia="宋体" w:cs="宋体"/>
          <w:bCs/>
          <w:u w:val="single"/>
        </w:rPr>
        <w:t>【交通银行北京和平里支行】</w:t>
      </w:r>
      <w:r>
        <w:rPr>
          <w:rFonts w:hint="eastAsia" w:ascii="宋体" w:hAnsi="宋体" w:eastAsia="宋体" w:cs="宋体"/>
        </w:rPr>
        <w:t xml:space="preserve">              </w:t>
      </w:r>
    </w:p>
    <w:p w14:paraId="3C26A38B">
      <w:pPr>
        <w:pStyle w:val="21"/>
        <w:spacing w:line="360" w:lineRule="auto"/>
        <w:ind w:leftChars="387" w:firstLine="440"/>
        <w:rPr>
          <w:rFonts w:hint="eastAsia" w:ascii="宋体" w:hAnsi="宋体" w:eastAsia="宋体" w:cs="宋体"/>
        </w:rPr>
      </w:pPr>
      <w:r>
        <w:rPr>
          <w:rFonts w:hint="eastAsia" w:ascii="宋体" w:hAnsi="宋体" w:eastAsia="宋体" w:cs="宋体"/>
        </w:rPr>
        <w:t xml:space="preserve">开户行名称： </w:t>
      </w:r>
      <w:r>
        <w:rPr>
          <w:rFonts w:hint="eastAsia" w:ascii="宋体" w:hAnsi="宋体" w:eastAsia="宋体" w:cs="宋体"/>
          <w:bCs/>
          <w:u w:val="single"/>
        </w:rPr>
        <w:t>【110060739012015026873】</w:t>
      </w:r>
    </w:p>
    <w:p w14:paraId="315CE1F7">
      <w:pPr>
        <w:pStyle w:val="19"/>
        <w:spacing w:line="360" w:lineRule="auto"/>
        <w:ind w:left="0" w:firstLine="0"/>
        <w:outlineLvl w:val="9"/>
        <w:rPr>
          <w:rFonts w:hint="eastAsia" w:ascii="宋体" w:hAnsi="宋体" w:eastAsia="宋体" w:cs="楷体"/>
          <w:szCs w:val="24"/>
        </w:rPr>
      </w:pPr>
      <w:r>
        <w:rPr>
          <w:rFonts w:hint="eastAsia" w:ascii="宋体" w:hAnsi="宋体" w:eastAsia="宋体" w:cs="楷体"/>
          <w:szCs w:val="24"/>
        </w:rPr>
        <w:t>乙方如需变更上述账户的，必须事先书面通知甲方，否则由此引起的责任由乙方承担。</w:t>
      </w:r>
    </w:p>
    <w:p w14:paraId="53558BBC">
      <w:pPr>
        <w:pStyle w:val="19"/>
        <w:numPr>
          <w:ilvl w:val="255"/>
          <w:numId w:val="0"/>
        </w:numPr>
        <w:spacing w:line="360" w:lineRule="auto"/>
        <w:rPr>
          <w:rFonts w:hint="eastAsia" w:ascii="宋体" w:hAnsi="宋体" w:eastAsia="宋体" w:cs="楷体"/>
          <w:szCs w:val="24"/>
        </w:rPr>
      </w:pPr>
      <w:r>
        <w:rPr>
          <w:rFonts w:hint="eastAsia" w:ascii="宋体" w:hAnsi="宋体" w:eastAsia="宋体" w:cs="楷体"/>
          <w:szCs w:val="24"/>
        </w:rPr>
        <w:t>3.4    甲方每次付款前的十个工作日，乙方应按照甲方要求提供与应付金额等额的有效增值税专用发票；否则甲方有权延迟付款，并不承担违约责任。</w:t>
      </w:r>
    </w:p>
    <w:p w14:paraId="13DE7E52">
      <w:pPr>
        <w:pStyle w:val="19"/>
        <w:numPr>
          <w:ilvl w:val="255"/>
          <w:numId w:val="0"/>
        </w:numPr>
        <w:spacing w:line="360" w:lineRule="auto"/>
        <w:rPr>
          <w:rFonts w:hint="eastAsia" w:ascii="宋体" w:hAnsi="宋体" w:eastAsia="宋体" w:cs="楷体"/>
          <w:szCs w:val="24"/>
        </w:rPr>
      </w:pPr>
      <w:r>
        <w:rPr>
          <w:rFonts w:hint="eastAsia" w:ascii="宋体" w:hAnsi="宋体" w:eastAsia="宋体" w:cs="楷体"/>
          <w:szCs w:val="24"/>
        </w:rPr>
        <w:t>3.5    如甲方遗失增值税专用发票，则甲方有义务向乙方出具书面发票遗失声明，乙方向甲方提供相应的增值税专用发票记账联复印件作为甲方付款凭证。</w:t>
      </w:r>
    </w:p>
    <w:p w14:paraId="59A0CD27">
      <w:pPr>
        <w:pStyle w:val="19"/>
        <w:numPr>
          <w:ilvl w:val="255"/>
          <w:numId w:val="0"/>
        </w:numPr>
        <w:spacing w:line="360" w:lineRule="auto"/>
        <w:rPr>
          <w:rFonts w:hint="eastAsia" w:ascii="宋体" w:hAnsi="宋体" w:eastAsia="宋体" w:cs="楷体"/>
          <w:szCs w:val="24"/>
        </w:rPr>
      </w:pPr>
      <w:r>
        <w:rPr>
          <w:rFonts w:hint="eastAsia" w:ascii="宋体" w:hAnsi="宋体" w:eastAsia="宋体" w:cs="楷体"/>
          <w:szCs w:val="24"/>
        </w:rPr>
        <w:t>3.6    若出现非乙方原因造成的评估内容</w:t>
      </w:r>
      <w:r>
        <w:rPr>
          <w:rFonts w:hint="eastAsia" w:ascii="宋体" w:hAnsi="宋体" w:eastAsia="宋体" w:cs="楷体"/>
          <w:szCs w:val="24"/>
          <w:lang w:val="en-US" w:eastAsia="zh-CN"/>
        </w:rPr>
        <w:t>出现重大</w:t>
      </w:r>
      <w:r>
        <w:rPr>
          <w:rFonts w:hint="eastAsia" w:ascii="宋体" w:hAnsi="宋体" w:eastAsia="宋体" w:cs="楷体"/>
          <w:szCs w:val="24"/>
        </w:rPr>
        <w:t>修改或评估范围</w:t>
      </w:r>
      <w:r>
        <w:rPr>
          <w:rFonts w:hint="eastAsia" w:ascii="宋体" w:hAnsi="宋体" w:eastAsia="宋体" w:cs="楷体"/>
          <w:szCs w:val="24"/>
          <w:lang w:val="en-US" w:eastAsia="zh-CN"/>
        </w:rPr>
        <w:t>发生重大</w:t>
      </w:r>
      <w:r>
        <w:rPr>
          <w:rFonts w:hint="eastAsia" w:ascii="宋体" w:hAnsi="宋体" w:eastAsia="宋体" w:cs="楷体"/>
          <w:szCs w:val="24"/>
        </w:rPr>
        <w:t>变化甲方应根据实际增加的工作量向乙方增付评估费。评估周期适当顺延。重新评估或重大修改的服务应在双方于工作开始前就增加的评估费和评估周期达成一致，签订补充协议后，方可予以提供。</w:t>
      </w:r>
    </w:p>
    <w:p w14:paraId="08EB484F">
      <w:pPr>
        <w:pStyle w:val="11"/>
        <w:widowControl/>
        <w:numPr>
          <w:ilvl w:val="0"/>
          <w:numId w:val="1"/>
        </w:numPr>
        <w:spacing w:before="100" w:beforeLines="0" w:beforeAutospacing="1" w:after="240" w:afterLines="0"/>
        <w:jc w:val="left"/>
        <w:rPr>
          <w:rFonts w:hint="eastAsia" w:ascii="宋体" w:hAnsi="宋体" w:eastAsia="宋体" w:cs="楷体"/>
          <w:sz w:val="24"/>
          <w:szCs w:val="24"/>
        </w:rPr>
      </w:pPr>
      <w:bookmarkStart w:id="23" w:name="_Toc34058072"/>
      <w:bookmarkStart w:id="24" w:name="_Toc5467"/>
      <w:r>
        <w:rPr>
          <w:rFonts w:hint="eastAsia" w:ascii="宋体" w:hAnsi="宋体" w:eastAsia="宋体" w:cs="楷体"/>
          <w:sz w:val="24"/>
          <w:szCs w:val="24"/>
        </w:rPr>
        <w:t>保密</w:t>
      </w:r>
      <w:bookmarkEnd w:id="23"/>
      <w:bookmarkEnd w:id="24"/>
    </w:p>
    <w:p w14:paraId="4541AAD5">
      <w:pPr>
        <w:pStyle w:val="19"/>
        <w:numPr>
          <w:ilvl w:val="255"/>
          <w:numId w:val="0"/>
        </w:numPr>
        <w:spacing w:line="360" w:lineRule="auto"/>
        <w:rPr>
          <w:rFonts w:hint="eastAsia" w:ascii="宋体" w:hAnsi="宋体" w:eastAsia="宋体" w:cs="楷体"/>
          <w:szCs w:val="24"/>
        </w:rPr>
      </w:pPr>
      <w:r>
        <w:rPr>
          <w:rFonts w:hint="eastAsia" w:ascii="宋体" w:hAnsi="宋体" w:eastAsia="宋体" w:cs="楷体"/>
          <w:szCs w:val="24"/>
        </w:rPr>
        <w:t>4.1对本协议、因履行本协议而了解到的甲方商业秘密、与本协议相关的项目信息、基础资料、工作成果以及其他尚未公开的相关保密信息，乙方应承担保密义务并采取保密措施，非经甲方书面同意，不得擅自公开、泄露给他人或用于项目之外的其他任何用途。在本协议终止、解除或甲方要求时，及时返还属于对方的文件资料和信息，或按对方要求作适当处理。</w:t>
      </w:r>
    </w:p>
    <w:p w14:paraId="034386B3">
      <w:pPr>
        <w:pStyle w:val="19"/>
        <w:numPr>
          <w:ilvl w:val="255"/>
          <w:numId w:val="0"/>
        </w:numPr>
        <w:spacing w:line="360" w:lineRule="auto"/>
        <w:rPr>
          <w:rFonts w:hint="eastAsia" w:ascii="宋体" w:hAnsi="宋体" w:eastAsia="宋体" w:cs="楷体"/>
          <w:szCs w:val="24"/>
        </w:rPr>
      </w:pPr>
      <w:r>
        <w:rPr>
          <w:rFonts w:hint="eastAsia" w:ascii="宋体" w:hAnsi="宋体" w:eastAsia="宋体" w:cs="楷体"/>
          <w:szCs w:val="24"/>
        </w:rPr>
        <w:t>4.2无论本协议是否变更、解除、终止，本条款继续永久有效。</w:t>
      </w:r>
    </w:p>
    <w:p w14:paraId="509321EC">
      <w:pPr>
        <w:pStyle w:val="19"/>
        <w:numPr>
          <w:ilvl w:val="255"/>
          <w:numId w:val="0"/>
        </w:numPr>
        <w:spacing w:line="360" w:lineRule="auto"/>
        <w:rPr>
          <w:rFonts w:hint="eastAsia" w:ascii="宋体" w:hAnsi="宋体" w:eastAsia="宋体" w:cs="楷体"/>
          <w:szCs w:val="24"/>
        </w:rPr>
      </w:pPr>
      <w:r>
        <w:rPr>
          <w:rFonts w:hint="eastAsia" w:ascii="宋体" w:hAnsi="宋体" w:eastAsia="宋体" w:cs="楷体"/>
          <w:szCs w:val="24"/>
        </w:rPr>
        <w:t>4.3乙方保密义务履行不当造成甲方损失的，乙方应当全部赔偿。</w:t>
      </w:r>
    </w:p>
    <w:p w14:paraId="37892A9C">
      <w:pPr>
        <w:pStyle w:val="11"/>
        <w:widowControl/>
        <w:numPr>
          <w:ilvl w:val="0"/>
          <w:numId w:val="1"/>
        </w:numPr>
        <w:spacing w:before="100" w:beforeLines="0" w:beforeAutospacing="1" w:after="240" w:afterLines="0"/>
        <w:jc w:val="left"/>
        <w:rPr>
          <w:rFonts w:hint="eastAsia" w:ascii="宋体" w:hAnsi="宋体" w:eastAsia="宋体" w:cs="楷体"/>
          <w:sz w:val="24"/>
          <w:szCs w:val="24"/>
        </w:rPr>
      </w:pPr>
      <w:bookmarkStart w:id="25" w:name="_Toc7063"/>
      <w:bookmarkStart w:id="26" w:name="_Toc34058073"/>
      <w:r>
        <w:rPr>
          <w:rFonts w:hint="eastAsia" w:ascii="宋体" w:hAnsi="宋体" w:eastAsia="宋体" w:cs="楷体"/>
          <w:sz w:val="24"/>
          <w:szCs w:val="24"/>
        </w:rPr>
        <w:t>知识产权的归属</w:t>
      </w:r>
      <w:bookmarkEnd w:id="25"/>
      <w:bookmarkEnd w:id="26"/>
    </w:p>
    <w:p w14:paraId="24348548">
      <w:pPr>
        <w:pStyle w:val="19"/>
        <w:numPr>
          <w:ilvl w:val="255"/>
          <w:numId w:val="0"/>
        </w:numPr>
        <w:spacing w:line="360" w:lineRule="auto"/>
        <w:rPr>
          <w:rFonts w:hint="eastAsia" w:ascii="宋体" w:hAnsi="宋体" w:eastAsia="宋体" w:cs="楷体"/>
          <w:szCs w:val="24"/>
        </w:rPr>
      </w:pPr>
      <w:r>
        <w:rPr>
          <w:rFonts w:hint="eastAsia" w:ascii="宋体" w:hAnsi="宋体" w:eastAsia="宋体" w:cs="楷体"/>
          <w:szCs w:val="24"/>
        </w:rPr>
        <w:t>5.1乙方保证其履行协议及提交的工作成果不存在任何侵权或违法问题，如有乙方应自行处理并承担全部纠纷及责任。由此造成甲方损失的，乙方应赔偿。</w:t>
      </w:r>
    </w:p>
    <w:p w14:paraId="0DE9D022">
      <w:pPr>
        <w:pStyle w:val="19"/>
        <w:numPr>
          <w:ilvl w:val="255"/>
          <w:numId w:val="0"/>
        </w:numPr>
        <w:spacing w:line="360" w:lineRule="auto"/>
        <w:rPr>
          <w:rFonts w:hint="eastAsia" w:ascii="宋体" w:hAnsi="宋体" w:eastAsia="宋体" w:cs="楷体"/>
          <w:szCs w:val="24"/>
        </w:rPr>
      </w:pPr>
      <w:r>
        <w:rPr>
          <w:rFonts w:hint="eastAsia" w:ascii="宋体" w:hAnsi="宋体" w:eastAsia="宋体" w:cs="楷体"/>
          <w:szCs w:val="24"/>
        </w:rPr>
        <w:t>5.2本协议项下工作成果的所有权和知识产权均归甲方所有。未经甲方事先书面同意，乙方不得在本协议目的之外使用本协议项下工作成果及过程性文件，或以任何形式转让、提供给第三方。否则乙方应承担由此给甲方造成的全部损失。</w:t>
      </w:r>
    </w:p>
    <w:p w14:paraId="5DE26BEF">
      <w:pPr>
        <w:pStyle w:val="19"/>
        <w:numPr>
          <w:ilvl w:val="255"/>
          <w:numId w:val="0"/>
        </w:numPr>
        <w:spacing w:line="360" w:lineRule="auto"/>
        <w:rPr>
          <w:rFonts w:hint="eastAsia" w:ascii="宋体" w:hAnsi="宋体" w:eastAsia="宋体" w:cs="楷体"/>
          <w:szCs w:val="24"/>
        </w:rPr>
      </w:pPr>
      <w:r>
        <w:rPr>
          <w:rFonts w:hint="eastAsia" w:ascii="宋体" w:hAnsi="宋体" w:eastAsia="宋体" w:cs="楷体"/>
          <w:szCs w:val="24"/>
        </w:rPr>
        <w:t>5.3乙方享有署名权，乙方应在确保本协议第4条保密义务的前提下可以将本项目成果用于内部学术研究等非公开、非营利性用途，如参与报奖须经甲方同意后方可参加。</w:t>
      </w:r>
    </w:p>
    <w:p w14:paraId="5253A9E2">
      <w:pPr>
        <w:pStyle w:val="11"/>
        <w:widowControl/>
        <w:numPr>
          <w:ilvl w:val="0"/>
          <w:numId w:val="1"/>
        </w:numPr>
        <w:spacing w:before="100" w:beforeLines="0" w:beforeAutospacing="1" w:after="240" w:afterLines="0"/>
        <w:jc w:val="left"/>
        <w:rPr>
          <w:rFonts w:hint="eastAsia" w:ascii="宋体" w:hAnsi="宋体" w:eastAsia="宋体" w:cs="楷体"/>
          <w:sz w:val="24"/>
          <w:szCs w:val="24"/>
        </w:rPr>
      </w:pPr>
      <w:bookmarkStart w:id="27" w:name="_Toc34058074"/>
      <w:bookmarkStart w:id="28" w:name="_Toc12745"/>
      <w:r>
        <w:rPr>
          <w:rFonts w:hint="eastAsia" w:ascii="宋体" w:hAnsi="宋体" w:eastAsia="宋体" w:cs="楷体"/>
          <w:sz w:val="24"/>
          <w:szCs w:val="24"/>
        </w:rPr>
        <w:t>违约责任</w:t>
      </w:r>
      <w:bookmarkEnd w:id="27"/>
      <w:bookmarkEnd w:id="28"/>
    </w:p>
    <w:p w14:paraId="6EA918D1">
      <w:pPr>
        <w:pStyle w:val="19"/>
        <w:numPr>
          <w:ilvl w:val="255"/>
          <w:numId w:val="0"/>
        </w:numPr>
        <w:spacing w:line="360" w:lineRule="auto"/>
        <w:rPr>
          <w:rFonts w:hint="eastAsia" w:ascii="宋体" w:hAnsi="宋体" w:eastAsia="宋体" w:cs="楷体"/>
          <w:szCs w:val="24"/>
        </w:rPr>
      </w:pPr>
      <w:r>
        <w:rPr>
          <w:rFonts w:hint="eastAsia" w:ascii="宋体" w:hAnsi="宋体" w:eastAsia="宋体" w:cs="楷体"/>
          <w:szCs w:val="24"/>
        </w:rPr>
        <w:t>6.1甲方未按照本协议的约定向乙方支付费用的，逾期10日，乙方应书面催告甲方，甲方在接到书面催告后15日内仍未支付的，自甲方接到书面催告后15日起乙方有权要求甲方按日支付本协议服务费总额万分之五的逾期违约金。甲方接到书面催告后30日仍未支付的，甲方除应当向乙方支付应付款外，还应当向乙方支付协议金额20%的违约金，给乙方造成损失的，甲方应予以赔偿。</w:t>
      </w:r>
    </w:p>
    <w:p w14:paraId="682A0255">
      <w:pPr>
        <w:pStyle w:val="19"/>
        <w:numPr>
          <w:ilvl w:val="255"/>
          <w:numId w:val="0"/>
        </w:numPr>
        <w:spacing w:line="360" w:lineRule="auto"/>
        <w:rPr>
          <w:rFonts w:hint="eastAsia" w:ascii="宋体" w:hAnsi="宋体" w:eastAsia="宋体" w:cs="楷体"/>
          <w:szCs w:val="24"/>
        </w:rPr>
      </w:pPr>
      <w:r>
        <w:rPr>
          <w:rFonts w:hint="eastAsia" w:ascii="宋体" w:hAnsi="宋体" w:eastAsia="宋体" w:cs="楷体"/>
          <w:szCs w:val="24"/>
        </w:rPr>
        <w:t>6.2乙方未按时提交工作成果的，或在甲方对其提交的某项工作成果提出异议后，乙方未能在甲方要求合理期限内完成整改的，则每逾期1日，乙方应每日向甲方支付相当于本协议服务费总额万分之五的逾期违约金；前述违约金可由甲方在应付费用中进行扣减。如逾期30日，乙方仍未能提交符合甲方要求的工作成果的，甲方有权单方解除协议，要求乙方退还其已支付的费用，同时乙方应按本协议服务费总额的20%向甲方支付违约金，如违约金不足以弥补甲方全部损失的，乙方应继续赔偿损失与违约金的差额部分。</w:t>
      </w:r>
    </w:p>
    <w:p w14:paraId="2EA87330">
      <w:pPr>
        <w:pStyle w:val="19"/>
        <w:numPr>
          <w:ilvl w:val="255"/>
          <w:numId w:val="0"/>
        </w:numPr>
        <w:spacing w:line="360" w:lineRule="auto"/>
        <w:rPr>
          <w:rFonts w:hint="eastAsia" w:ascii="宋体" w:hAnsi="宋体" w:eastAsia="宋体" w:cs="楷体"/>
          <w:szCs w:val="24"/>
        </w:rPr>
      </w:pPr>
      <w:r>
        <w:rPr>
          <w:rFonts w:hint="eastAsia" w:ascii="宋体" w:hAnsi="宋体" w:eastAsia="宋体" w:cs="楷体"/>
          <w:szCs w:val="24"/>
        </w:rPr>
        <w:t>6.3乙方未履行或未适当履行本协议约定工作内容、责任义务的，或严重违反本协议的，乙方应在甲方要求的合理时间内进行调整、补充、修改和优化，除采取补救措施外，还应赔偿甲方由此造成的全部损失，且甲方可在应付费用中进行扣减。经甲方要求整改2次及以上仍未履行、未适当履行或严重违反本协议的，甲方有权单方解除协议，要求乙方退还其已支付的费用，同时乙方应按本协议服务费总额的20%向甲方支付违约金，如违约金不足以弥补甲方全部损失的，乙方应继续赔偿损失与违约金的差额部分。</w:t>
      </w:r>
    </w:p>
    <w:p w14:paraId="0F57B907">
      <w:pPr>
        <w:pStyle w:val="19"/>
        <w:numPr>
          <w:ilvl w:val="255"/>
          <w:numId w:val="0"/>
        </w:numPr>
        <w:spacing w:line="360" w:lineRule="auto"/>
        <w:rPr>
          <w:rFonts w:hint="eastAsia" w:ascii="宋体" w:hAnsi="宋体" w:eastAsia="宋体" w:cs="楷体"/>
          <w:szCs w:val="24"/>
        </w:rPr>
      </w:pPr>
      <w:r>
        <w:rPr>
          <w:rFonts w:hint="eastAsia" w:ascii="宋体" w:hAnsi="宋体" w:eastAsia="宋体" w:cs="楷体"/>
          <w:szCs w:val="24"/>
        </w:rPr>
        <w:t>6.4乙方擅自转包或分包本咨询项目的，甲方有权单方解除本协议，乙方应退还甲方已支付的费用，并按本协议服务费总额的20%项甲方支付违约金，如违约金不足以弥补甲方全部损失的，乙方应继续赔偿损失与违约金的差额部分;</w:t>
      </w:r>
    </w:p>
    <w:p w14:paraId="33620B0C">
      <w:pPr>
        <w:pStyle w:val="19"/>
        <w:numPr>
          <w:ilvl w:val="255"/>
          <w:numId w:val="0"/>
        </w:numPr>
        <w:spacing w:line="360" w:lineRule="auto"/>
        <w:rPr>
          <w:rFonts w:hint="eastAsia" w:ascii="宋体" w:hAnsi="宋体" w:eastAsia="宋体" w:cs="楷体"/>
          <w:szCs w:val="24"/>
        </w:rPr>
      </w:pPr>
      <w:r>
        <w:rPr>
          <w:rFonts w:hint="eastAsia" w:ascii="宋体" w:hAnsi="宋体" w:eastAsia="宋体" w:cs="楷体"/>
          <w:szCs w:val="24"/>
        </w:rPr>
        <w:t>6.5由于甲方原因导致本项目暂停或者中止时间超过3个月，乙方有权解除本协议，双方应当按照甲方认可的实际工作量结清费用。</w:t>
      </w:r>
    </w:p>
    <w:p w14:paraId="534EAC77">
      <w:pPr>
        <w:pStyle w:val="19"/>
        <w:numPr>
          <w:ilvl w:val="255"/>
          <w:numId w:val="0"/>
        </w:numPr>
        <w:spacing w:line="360" w:lineRule="auto"/>
        <w:rPr>
          <w:rFonts w:hint="eastAsia" w:ascii="宋体" w:hAnsi="宋体" w:eastAsia="宋体" w:cs="楷体"/>
          <w:szCs w:val="24"/>
        </w:rPr>
      </w:pPr>
      <w:r>
        <w:rPr>
          <w:rFonts w:hint="eastAsia" w:ascii="宋体" w:hAnsi="宋体" w:eastAsia="宋体" w:cs="楷体"/>
          <w:szCs w:val="24"/>
        </w:rPr>
        <w:t>6.6本协议全部损失包括但不限于全部损失款项及其利息、违约金、赔偿金、行政处罚金、因此而产生的所有诉讼费、律师费、保全费和保全保险费等各项费用。</w:t>
      </w:r>
    </w:p>
    <w:p w14:paraId="0C3B3AA8">
      <w:pPr>
        <w:pStyle w:val="11"/>
        <w:widowControl/>
        <w:numPr>
          <w:ilvl w:val="0"/>
          <w:numId w:val="1"/>
        </w:numPr>
        <w:spacing w:before="100" w:beforeLines="0" w:beforeAutospacing="1" w:after="240" w:afterLines="0"/>
        <w:jc w:val="left"/>
        <w:rPr>
          <w:rFonts w:hint="eastAsia" w:ascii="宋体" w:hAnsi="宋体" w:eastAsia="宋体" w:cs="楷体"/>
          <w:sz w:val="24"/>
          <w:szCs w:val="24"/>
        </w:rPr>
      </w:pPr>
      <w:bookmarkStart w:id="29" w:name="_Toc34058075"/>
      <w:bookmarkStart w:id="30" w:name="_Toc31926"/>
      <w:r>
        <w:rPr>
          <w:rFonts w:hint="eastAsia" w:ascii="宋体" w:hAnsi="宋体" w:eastAsia="宋体" w:cs="楷体"/>
          <w:sz w:val="24"/>
          <w:szCs w:val="24"/>
        </w:rPr>
        <w:t>协议终止、解除</w:t>
      </w:r>
      <w:bookmarkEnd w:id="29"/>
      <w:bookmarkEnd w:id="30"/>
    </w:p>
    <w:p w14:paraId="5746084F">
      <w:pPr>
        <w:pStyle w:val="19"/>
        <w:numPr>
          <w:ilvl w:val="1"/>
          <w:numId w:val="2"/>
        </w:numPr>
        <w:spacing w:before="100" w:beforeAutospacing="1" w:line="360" w:lineRule="auto"/>
        <w:rPr>
          <w:rFonts w:hint="eastAsia" w:ascii="宋体" w:hAnsi="宋体" w:eastAsia="宋体" w:cs="楷体"/>
          <w:szCs w:val="24"/>
          <w:shd w:val="clear" w:color="auto" w:fill="FFFFFF"/>
        </w:rPr>
      </w:pPr>
      <w:r>
        <w:rPr>
          <w:rFonts w:hint="eastAsia" w:ascii="宋体" w:hAnsi="宋体" w:eastAsia="宋体" w:cs="楷体"/>
          <w:szCs w:val="24"/>
          <w:shd w:val="clear" w:color="auto" w:fill="FFFFFF"/>
        </w:rPr>
        <w:t>有下列情形之一的，本协议即告终止：</w:t>
      </w:r>
    </w:p>
    <w:p w14:paraId="34B9B144">
      <w:pPr>
        <w:pStyle w:val="19"/>
        <w:numPr>
          <w:ilvl w:val="1"/>
          <w:numId w:val="4"/>
        </w:numPr>
        <w:spacing w:before="100" w:beforeAutospacing="1" w:line="360" w:lineRule="auto"/>
        <w:rPr>
          <w:rFonts w:hint="eastAsia" w:ascii="宋体" w:hAnsi="宋体" w:eastAsia="宋体" w:cs="楷体"/>
          <w:szCs w:val="24"/>
          <w:shd w:val="clear" w:color="auto" w:fill="FFFFFF"/>
        </w:rPr>
      </w:pPr>
      <w:r>
        <w:rPr>
          <w:rFonts w:hint="eastAsia" w:ascii="宋体" w:hAnsi="宋体" w:eastAsia="宋体" w:cs="楷体"/>
          <w:szCs w:val="24"/>
          <w:shd w:val="clear" w:color="auto" w:fill="FFFFFF"/>
        </w:rPr>
        <w:t>双方履行完本协议规定的义务后，本协议即行终止；</w:t>
      </w:r>
    </w:p>
    <w:p w14:paraId="52D24D20">
      <w:pPr>
        <w:pStyle w:val="19"/>
        <w:numPr>
          <w:ilvl w:val="1"/>
          <w:numId w:val="4"/>
        </w:numPr>
        <w:spacing w:before="100" w:beforeAutospacing="1" w:line="360" w:lineRule="auto"/>
        <w:rPr>
          <w:rFonts w:hint="eastAsia" w:ascii="宋体" w:hAnsi="宋体" w:eastAsia="宋体" w:cs="楷体"/>
          <w:szCs w:val="24"/>
          <w:shd w:val="clear" w:color="auto" w:fill="FFFFFF"/>
        </w:rPr>
      </w:pPr>
      <w:r>
        <w:rPr>
          <w:rFonts w:hint="eastAsia" w:ascii="宋体" w:hAnsi="宋体" w:eastAsia="宋体" w:cs="楷体"/>
          <w:szCs w:val="24"/>
          <w:shd w:val="clear" w:color="auto" w:fill="FFFFFF"/>
        </w:rPr>
        <w:t>双方协商同意终止本协议，双方因故需变更或终止本协议时，应提前15天书面通知对方，对本协议中的问题取得一致解决意见后，形成书面补充协议作为本协议附件。</w:t>
      </w:r>
    </w:p>
    <w:p w14:paraId="68E5B324">
      <w:pPr>
        <w:pStyle w:val="19"/>
        <w:numPr>
          <w:ilvl w:val="1"/>
          <w:numId w:val="2"/>
        </w:numPr>
        <w:spacing w:before="100" w:beforeAutospacing="1" w:line="360" w:lineRule="auto"/>
        <w:rPr>
          <w:rFonts w:hint="eastAsia" w:ascii="宋体" w:hAnsi="宋体" w:eastAsia="宋体" w:cs="楷体"/>
          <w:szCs w:val="24"/>
          <w:shd w:val="clear" w:color="auto" w:fill="FFFFFF"/>
        </w:rPr>
      </w:pPr>
      <w:r>
        <w:rPr>
          <w:rFonts w:hint="eastAsia" w:ascii="宋体" w:hAnsi="宋体" w:eastAsia="宋体" w:cs="楷体"/>
          <w:szCs w:val="24"/>
          <w:shd w:val="clear" w:color="auto" w:fill="FFFFFF"/>
        </w:rPr>
        <w:t>有下列情形之一的，可解除本协议：</w:t>
      </w:r>
    </w:p>
    <w:p w14:paraId="4F166935">
      <w:pPr>
        <w:pStyle w:val="19"/>
        <w:spacing w:line="360" w:lineRule="auto"/>
        <w:rPr>
          <w:rFonts w:hint="eastAsia" w:ascii="宋体" w:hAnsi="宋体" w:eastAsia="宋体" w:cs="楷体"/>
          <w:b/>
          <w:caps/>
          <w:szCs w:val="24"/>
          <w:shd w:val="clear" w:color="auto" w:fill="FFFFFF"/>
        </w:rPr>
      </w:pPr>
      <w:r>
        <w:rPr>
          <w:rFonts w:hint="eastAsia" w:ascii="宋体" w:hAnsi="宋体" w:eastAsia="宋体" w:cs="楷体"/>
          <w:szCs w:val="24"/>
          <w:shd w:val="clear" w:color="auto" w:fill="FFFFFF"/>
        </w:rPr>
        <w:t>7.2.1 一方已证实进入破产程序或已经破产；</w:t>
      </w:r>
    </w:p>
    <w:p w14:paraId="29CEFD22">
      <w:pPr>
        <w:pStyle w:val="19"/>
        <w:spacing w:line="360" w:lineRule="auto"/>
        <w:rPr>
          <w:rFonts w:hint="eastAsia" w:ascii="宋体" w:hAnsi="宋体" w:eastAsia="宋体" w:cs="楷体"/>
          <w:bCs w:val="0"/>
          <w:szCs w:val="24"/>
          <w:shd w:val="clear" w:color="auto" w:fill="FFFFFF"/>
        </w:rPr>
      </w:pPr>
      <w:r>
        <w:rPr>
          <w:rFonts w:hint="eastAsia" w:ascii="宋体" w:hAnsi="宋体" w:eastAsia="宋体" w:cs="楷体"/>
          <w:szCs w:val="24"/>
          <w:shd w:val="clear" w:color="auto" w:fill="FFFFFF"/>
        </w:rPr>
        <w:t>7.2.2如受不可抗力影响，使本协议不能正常履行，任何一方在经证实的不可抗力发生60日后仍无法履行义务的，双方应及时协商解除合同，且互不因此承担违约责任、赔偿责任。</w:t>
      </w:r>
    </w:p>
    <w:p w14:paraId="04D1C3E4">
      <w:pPr>
        <w:pStyle w:val="11"/>
        <w:widowControl/>
        <w:numPr>
          <w:ilvl w:val="0"/>
          <w:numId w:val="1"/>
        </w:numPr>
        <w:spacing w:before="100" w:beforeLines="0" w:beforeAutospacing="1" w:after="240" w:afterLines="0"/>
        <w:jc w:val="left"/>
        <w:rPr>
          <w:rFonts w:hint="eastAsia" w:ascii="宋体" w:hAnsi="宋体" w:eastAsia="宋体" w:cs="楷体"/>
          <w:sz w:val="24"/>
          <w:szCs w:val="24"/>
        </w:rPr>
      </w:pPr>
      <w:bookmarkStart w:id="31" w:name="_Toc478057814"/>
      <w:bookmarkEnd w:id="31"/>
      <w:bookmarkStart w:id="32" w:name="_Toc34058076"/>
      <w:bookmarkStart w:id="33" w:name="_Toc6869"/>
      <w:r>
        <w:rPr>
          <w:rFonts w:hint="eastAsia" w:ascii="宋体" w:hAnsi="宋体" w:eastAsia="宋体" w:cs="楷体"/>
          <w:sz w:val="24"/>
          <w:szCs w:val="24"/>
        </w:rPr>
        <w:t>通知与送达</w:t>
      </w:r>
      <w:bookmarkEnd w:id="32"/>
      <w:bookmarkEnd w:id="33"/>
    </w:p>
    <w:p w14:paraId="7E54C0B1">
      <w:pPr>
        <w:pStyle w:val="19"/>
        <w:numPr>
          <w:ilvl w:val="1"/>
          <w:numId w:val="2"/>
        </w:numPr>
        <w:spacing w:before="100" w:beforeAutospacing="1" w:line="360" w:lineRule="auto"/>
        <w:rPr>
          <w:rFonts w:hint="eastAsia" w:ascii="宋体" w:hAnsi="宋体" w:eastAsia="宋体" w:cs="楷体"/>
          <w:szCs w:val="24"/>
          <w:shd w:val="clear" w:color="auto" w:fill="FFFFFF"/>
        </w:rPr>
      </w:pPr>
      <w:r>
        <w:rPr>
          <w:rFonts w:hint="eastAsia" w:ascii="宋体" w:hAnsi="宋体" w:eastAsia="宋体" w:cs="楷体"/>
          <w:szCs w:val="24"/>
        </w:rPr>
        <w:t>根据本协议需要发出的全部通知，均须采用书面形式，并应以（A）专人递送，（B）邮寄（快递或EMS），（C）电子邮件方式发出。</w:t>
      </w:r>
    </w:p>
    <w:p w14:paraId="14712F5A">
      <w:pPr>
        <w:pStyle w:val="19"/>
        <w:numPr>
          <w:ilvl w:val="1"/>
          <w:numId w:val="2"/>
        </w:numPr>
        <w:spacing w:before="100" w:beforeAutospacing="1" w:line="360" w:lineRule="auto"/>
        <w:rPr>
          <w:rFonts w:hint="eastAsia" w:ascii="宋体" w:hAnsi="宋体" w:eastAsia="宋体" w:cs="楷体"/>
          <w:szCs w:val="24"/>
          <w:shd w:val="clear" w:color="auto" w:fill="FFFFFF"/>
        </w:rPr>
      </w:pPr>
      <w:r>
        <w:rPr>
          <w:rFonts w:hint="eastAsia" w:ascii="宋体" w:hAnsi="宋体" w:eastAsia="宋体" w:cs="楷体"/>
          <w:szCs w:val="24"/>
        </w:rPr>
        <w:t>本协议约定的以下送达地址适用于本协议相关的各类通知、协议、文书的送达，包括但不限于协议履行期间各类通知、协议等文件的送达，以及协议发生纠纷时相关文件和法律文书的送达，同时包括争议进入仲裁、民事诉讼程序后一审、二审、再审和执行程序及其他程序中相关文件和法律文书的送达。</w:t>
      </w:r>
    </w:p>
    <w:p w14:paraId="55325CA5">
      <w:pPr>
        <w:pStyle w:val="21"/>
        <w:spacing w:line="360" w:lineRule="auto"/>
        <w:ind w:left="850"/>
        <w:rPr>
          <w:rFonts w:hint="eastAsia" w:ascii="宋体" w:hAnsi="宋体" w:eastAsia="宋体" w:cs="楷体"/>
        </w:rPr>
      </w:pPr>
      <w:bookmarkStart w:id="34" w:name="_Toc13045985"/>
      <w:bookmarkEnd w:id="34"/>
      <w:bookmarkStart w:id="35" w:name="_Toc14676852"/>
      <w:bookmarkEnd w:id="35"/>
      <w:bookmarkStart w:id="36" w:name="_Toc25987"/>
      <w:bookmarkStart w:id="37" w:name="_Toc3445"/>
      <w:bookmarkStart w:id="38" w:name="_Toc13046053"/>
      <w:r>
        <w:rPr>
          <w:rFonts w:hint="eastAsia" w:ascii="宋体" w:hAnsi="宋体" w:eastAsia="宋体" w:cs="楷体"/>
        </w:rPr>
        <w:t>甲方确认其有效的送达地址为：(名称、地址、邮编、联系人、联系电话)</w:t>
      </w:r>
      <w:bookmarkEnd w:id="36"/>
      <w:bookmarkEnd w:id="37"/>
      <w:bookmarkEnd w:id="38"/>
    </w:p>
    <w:p w14:paraId="081914B0">
      <w:pPr>
        <w:pStyle w:val="21"/>
        <w:adjustRightInd w:val="0"/>
        <w:snapToGrid w:val="0"/>
        <w:spacing w:after="0"/>
        <w:ind w:leftChars="387"/>
        <w:rPr>
          <w:rFonts w:hint="eastAsia" w:ascii="宋体" w:hAnsi="宋体" w:eastAsia="宋体" w:cs="楷体"/>
          <w:bCs/>
        </w:rPr>
      </w:pPr>
      <w:r>
        <w:rPr>
          <w:rFonts w:hint="eastAsia" w:ascii="宋体" w:hAnsi="宋体" w:eastAsia="宋体" w:cs="楷体"/>
          <w:bCs/>
        </w:rPr>
        <w:t>名称：【北京通投兴苑置业有限公司】</w:t>
      </w:r>
    </w:p>
    <w:p w14:paraId="453B693F">
      <w:pPr>
        <w:pStyle w:val="21"/>
        <w:adjustRightInd w:val="0"/>
        <w:snapToGrid w:val="0"/>
        <w:spacing w:after="0"/>
        <w:ind w:leftChars="387"/>
        <w:rPr>
          <w:rFonts w:hint="eastAsia" w:ascii="宋体" w:hAnsi="宋体" w:eastAsia="宋体" w:cs="楷体"/>
          <w:bCs/>
        </w:rPr>
      </w:pPr>
      <w:r>
        <w:rPr>
          <w:rFonts w:hint="eastAsia" w:ascii="宋体" w:hAnsi="宋体" w:eastAsia="宋体" w:cs="楷体"/>
          <w:bCs/>
        </w:rPr>
        <w:t>地址：【北京市通州区潞苑南大街3号院】</w:t>
      </w:r>
    </w:p>
    <w:p w14:paraId="13417067">
      <w:pPr>
        <w:pStyle w:val="21"/>
        <w:adjustRightInd w:val="0"/>
        <w:snapToGrid w:val="0"/>
        <w:spacing w:after="0"/>
        <w:ind w:leftChars="387"/>
        <w:rPr>
          <w:rFonts w:hint="eastAsia" w:ascii="宋体" w:hAnsi="宋体" w:eastAsia="宋体" w:cs="楷体"/>
          <w:bCs/>
        </w:rPr>
      </w:pPr>
      <w:r>
        <w:rPr>
          <w:rFonts w:hint="eastAsia" w:ascii="宋体" w:hAnsi="宋体" w:eastAsia="宋体" w:cs="楷体"/>
          <w:bCs/>
        </w:rPr>
        <w:t>邮编：【100000】</w:t>
      </w:r>
    </w:p>
    <w:p w14:paraId="5081E314">
      <w:pPr>
        <w:pStyle w:val="21"/>
        <w:adjustRightInd w:val="0"/>
        <w:snapToGrid w:val="0"/>
        <w:spacing w:after="0"/>
        <w:ind w:leftChars="387"/>
        <w:rPr>
          <w:rFonts w:hint="eastAsia" w:ascii="宋体" w:hAnsi="宋体" w:eastAsia="宋体" w:cs="楷体"/>
          <w:bCs/>
        </w:rPr>
      </w:pPr>
      <w:r>
        <w:rPr>
          <w:rFonts w:hint="eastAsia" w:ascii="宋体" w:hAnsi="宋体" w:eastAsia="宋体" w:cs="楷体"/>
          <w:bCs/>
        </w:rPr>
        <w:t>联系人：【刘建霞】</w:t>
      </w:r>
    </w:p>
    <w:p w14:paraId="21F150EE">
      <w:pPr>
        <w:pStyle w:val="21"/>
        <w:adjustRightInd w:val="0"/>
        <w:snapToGrid w:val="0"/>
        <w:spacing w:after="0"/>
        <w:ind w:leftChars="387"/>
        <w:rPr>
          <w:rFonts w:hint="eastAsia" w:ascii="宋体" w:hAnsi="宋体" w:eastAsia="宋体" w:cs="楷体"/>
          <w:bCs/>
        </w:rPr>
      </w:pPr>
      <w:r>
        <w:rPr>
          <w:rFonts w:hint="eastAsia" w:ascii="宋体" w:hAnsi="宋体" w:eastAsia="宋体" w:cs="楷体"/>
          <w:bCs/>
        </w:rPr>
        <w:t>联系电话：【18612925750】</w:t>
      </w:r>
    </w:p>
    <w:p w14:paraId="41BA8C0F">
      <w:pPr>
        <w:pStyle w:val="21"/>
        <w:adjustRightInd w:val="0"/>
        <w:snapToGrid w:val="0"/>
        <w:spacing w:after="0"/>
        <w:ind w:leftChars="387"/>
        <w:rPr>
          <w:rFonts w:hint="eastAsia" w:ascii="宋体" w:hAnsi="宋体" w:eastAsia="宋体" w:cs="楷体"/>
          <w:bCs/>
        </w:rPr>
      </w:pPr>
      <w:r>
        <w:rPr>
          <w:rFonts w:hint="eastAsia" w:ascii="宋体" w:hAnsi="宋体" w:eastAsia="宋体" w:cs="楷体"/>
          <w:bCs/>
        </w:rPr>
        <w:t>电子邮箱：【bnuliujianxia@163.com】</w:t>
      </w:r>
    </w:p>
    <w:p w14:paraId="2C9BEDDF">
      <w:pPr>
        <w:pStyle w:val="21"/>
        <w:spacing w:line="360" w:lineRule="auto"/>
        <w:ind w:left="850"/>
        <w:rPr>
          <w:rFonts w:hint="eastAsia" w:ascii="宋体" w:hAnsi="宋体" w:eastAsia="宋体" w:cs="楷体"/>
        </w:rPr>
      </w:pPr>
      <w:r>
        <w:rPr>
          <w:rFonts w:hint="eastAsia" w:ascii="宋体" w:hAnsi="宋体" w:eastAsia="宋体" w:cs="楷体"/>
        </w:rPr>
        <w:t>乙方确认其有效的送达地址为：(名称、地址、邮编、联系人、联系电话)</w:t>
      </w:r>
    </w:p>
    <w:p w14:paraId="7501565B">
      <w:pPr>
        <w:pStyle w:val="21"/>
        <w:adjustRightInd w:val="0"/>
        <w:snapToGrid w:val="0"/>
        <w:spacing w:after="0"/>
        <w:ind w:leftChars="387"/>
        <w:rPr>
          <w:rFonts w:hint="eastAsia" w:ascii="宋体" w:hAnsi="宋体" w:eastAsia="宋体" w:cs="楷体"/>
          <w:bCs/>
        </w:rPr>
      </w:pPr>
      <w:r>
        <w:rPr>
          <w:rFonts w:hint="eastAsia" w:ascii="宋体" w:hAnsi="宋体" w:eastAsia="宋体" w:cs="楷体"/>
          <w:bCs/>
        </w:rPr>
        <w:t>名称：【北京康正宏基房地产评估有限公司】</w:t>
      </w:r>
    </w:p>
    <w:p w14:paraId="4F5AD2CD">
      <w:pPr>
        <w:pStyle w:val="21"/>
        <w:adjustRightInd w:val="0"/>
        <w:snapToGrid w:val="0"/>
        <w:spacing w:after="0"/>
        <w:ind w:leftChars="387"/>
        <w:rPr>
          <w:rFonts w:hint="eastAsia" w:ascii="宋体" w:hAnsi="宋体" w:eastAsia="宋体" w:cs="楷体"/>
          <w:bCs/>
        </w:rPr>
      </w:pPr>
      <w:r>
        <w:rPr>
          <w:rFonts w:hint="eastAsia" w:ascii="宋体" w:hAnsi="宋体" w:eastAsia="宋体" w:cs="楷体"/>
          <w:bCs/>
        </w:rPr>
        <w:t>地址：【北京市朝阳区裕民路12号中国国际科技会展中心B座1003】</w:t>
      </w:r>
    </w:p>
    <w:p w14:paraId="6A55D21F">
      <w:pPr>
        <w:pStyle w:val="21"/>
        <w:adjustRightInd w:val="0"/>
        <w:snapToGrid w:val="0"/>
        <w:spacing w:after="0"/>
        <w:ind w:leftChars="387"/>
        <w:rPr>
          <w:rFonts w:hint="eastAsia" w:ascii="宋体" w:hAnsi="宋体" w:eastAsia="宋体" w:cs="楷体"/>
          <w:bCs/>
        </w:rPr>
      </w:pPr>
      <w:r>
        <w:rPr>
          <w:rFonts w:hint="eastAsia" w:ascii="宋体" w:hAnsi="宋体" w:eastAsia="宋体" w:cs="楷体"/>
          <w:bCs/>
        </w:rPr>
        <w:t>邮编：【100029】</w:t>
      </w:r>
    </w:p>
    <w:p w14:paraId="796ACC52">
      <w:pPr>
        <w:pStyle w:val="21"/>
        <w:adjustRightInd w:val="0"/>
        <w:snapToGrid w:val="0"/>
        <w:spacing w:after="0"/>
        <w:ind w:leftChars="387"/>
        <w:rPr>
          <w:rFonts w:hint="eastAsia" w:ascii="宋体" w:hAnsi="宋体" w:eastAsia="宋体" w:cs="楷体"/>
          <w:bCs/>
        </w:rPr>
      </w:pPr>
      <w:r>
        <w:rPr>
          <w:rFonts w:hint="eastAsia" w:ascii="宋体" w:hAnsi="宋体" w:eastAsia="宋体" w:cs="楷体"/>
          <w:bCs/>
        </w:rPr>
        <w:t>联系人：【李诗霖】</w:t>
      </w:r>
    </w:p>
    <w:p w14:paraId="112D568F">
      <w:pPr>
        <w:pStyle w:val="21"/>
        <w:adjustRightInd w:val="0"/>
        <w:snapToGrid w:val="0"/>
        <w:spacing w:after="0"/>
        <w:ind w:leftChars="387"/>
        <w:rPr>
          <w:rFonts w:hint="eastAsia" w:ascii="宋体" w:hAnsi="宋体" w:eastAsia="宋体" w:cs="楷体"/>
          <w:bCs/>
        </w:rPr>
      </w:pPr>
      <w:r>
        <w:rPr>
          <w:rFonts w:hint="eastAsia" w:ascii="宋体" w:hAnsi="宋体" w:eastAsia="宋体" w:cs="楷体"/>
          <w:bCs/>
        </w:rPr>
        <w:t>联系电话：【18210516672】</w:t>
      </w:r>
    </w:p>
    <w:p w14:paraId="135E6DAA">
      <w:pPr>
        <w:pStyle w:val="21"/>
        <w:adjustRightInd w:val="0"/>
        <w:snapToGrid w:val="0"/>
        <w:spacing w:after="0"/>
        <w:ind w:leftChars="387"/>
        <w:rPr>
          <w:rFonts w:hint="eastAsia" w:ascii="宋体" w:hAnsi="宋体" w:eastAsia="宋体" w:cs="楷体"/>
          <w:bCs/>
        </w:rPr>
      </w:pPr>
      <w:r>
        <w:rPr>
          <w:rFonts w:hint="eastAsia" w:ascii="宋体" w:hAnsi="宋体" w:eastAsia="宋体" w:cs="楷体"/>
          <w:bCs/>
        </w:rPr>
        <w:t>电子邮箱：【kangzhenghongji@126.com】</w:t>
      </w:r>
    </w:p>
    <w:p w14:paraId="28A1D1B3">
      <w:pPr>
        <w:pStyle w:val="19"/>
        <w:numPr>
          <w:ilvl w:val="1"/>
          <w:numId w:val="2"/>
        </w:numPr>
        <w:spacing w:before="100" w:beforeAutospacing="1" w:line="360" w:lineRule="auto"/>
        <w:rPr>
          <w:rFonts w:hint="eastAsia" w:ascii="宋体" w:hAnsi="宋体" w:eastAsia="宋体" w:cs="楷体"/>
          <w:szCs w:val="24"/>
          <w:shd w:val="clear" w:color="auto" w:fill="FFFFFF"/>
        </w:rPr>
      </w:pPr>
      <w:r>
        <w:rPr>
          <w:rFonts w:hint="eastAsia" w:ascii="宋体" w:hAnsi="宋体" w:eastAsia="宋体" w:cs="楷体"/>
          <w:szCs w:val="24"/>
        </w:rPr>
        <w:t>一方需变更本协议确认的送达地址的，应及时通知协议其他方；一方在协议争议阶段或协议争议进入执行阶段变更本协议确认的送达地址的，应向法院、仲裁机构履行送达地址变更通知义务。</w:t>
      </w:r>
    </w:p>
    <w:p w14:paraId="62F689AE">
      <w:pPr>
        <w:pStyle w:val="19"/>
        <w:numPr>
          <w:ilvl w:val="1"/>
          <w:numId w:val="2"/>
        </w:numPr>
        <w:spacing w:before="100" w:beforeAutospacing="1" w:line="360" w:lineRule="auto"/>
        <w:rPr>
          <w:rFonts w:hint="eastAsia" w:ascii="宋体" w:hAnsi="宋体" w:eastAsia="宋体" w:cs="楷体"/>
          <w:szCs w:val="24"/>
          <w:shd w:val="clear" w:color="auto" w:fill="FFFFFF"/>
        </w:rPr>
      </w:pPr>
      <w:r>
        <w:rPr>
          <w:rFonts w:hint="eastAsia" w:ascii="宋体" w:hAnsi="宋体" w:eastAsia="宋体" w:cs="楷体"/>
          <w:szCs w:val="24"/>
        </w:rPr>
        <w:t>一方按8.3所述方式履行变更通知义务后，以其变更后的送达地址为有效送达地址，否则本协议确认的送达地址仍为有效送达地址。</w:t>
      </w:r>
    </w:p>
    <w:p w14:paraId="270CC742">
      <w:pPr>
        <w:pStyle w:val="19"/>
        <w:numPr>
          <w:ilvl w:val="1"/>
          <w:numId w:val="2"/>
        </w:numPr>
        <w:spacing w:before="100" w:beforeAutospacing="1" w:line="360" w:lineRule="auto"/>
        <w:rPr>
          <w:rFonts w:hint="eastAsia" w:ascii="宋体" w:hAnsi="宋体" w:eastAsia="宋体" w:cs="楷体"/>
          <w:szCs w:val="24"/>
          <w:shd w:val="clear" w:color="auto" w:fill="FFFFFF"/>
        </w:rPr>
      </w:pPr>
      <w:r>
        <w:rPr>
          <w:rFonts w:hint="eastAsia" w:ascii="宋体" w:hAnsi="宋体" w:eastAsia="宋体" w:cs="楷体"/>
          <w:szCs w:val="24"/>
        </w:rPr>
        <w:t>任何一方提供或确认的地址不准确、送达地址变更后未及时按8.3所述方式履行通知义务、该方或有权签收人拒绝签收或长期不自取等非寄件人原因，导致协议、通知、法律文书等各类文件未能被该方实际接收的，双方将按如下规定确定通知被视为正式送达的日期：</w:t>
      </w:r>
    </w:p>
    <w:p w14:paraId="3044E9CC">
      <w:pPr>
        <w:pStyle w:val="20"/>
        <w:numPr>
          <w:ilvl w:val="2"/>
          <w:numId w:val="2"/>
        </w:numPr>
        <w:tabs>
          <w:tab w:val="left" w:pos="1276"/>
        </w:tabs>
        <w:spacing w:before="100" w:beforeAutospacing="1" w:line="360" w:lineRule="auto"/>
        <w:ind w:left="2161" w:leftChars="387" w:hanging="1310"/>
        <w:rPr>
          <w:rFonts w:hint="eastAsia" w:ascii="宋体" w:hAnsi="宋体" w:eastAsia="宋体" w:cs="楷体"/>
          <w:shd w:val="clear" w:color="auto" w:fill="FFFFFF"/>
        </w:rPr>
      </w:pPr>
      <w:r>
        <w:rPr>
          <w:rFonts w:hint="eastAsia" w:ascii="宋体" w:hAnsi="宋体" w:eastAsia="宋体" w:cs="楷体"/>
        </w:rPr>
        <w:t>以专人递送的，接收人签收之日视为送达</w:t>
      </w:r>
      <w:r>
        <w:rPr>
          <w:rFonts w:hint="eastAsia" w:ascii="宋体" w:hAnsi="宋体" w:eastAsia="宋体" w:cs="楷体"/>
          <w:shd w:val="clear" w:color="auto" w:fill="FFFFFF"/>
        </w:rPr>
        <w:t>；</w:t>
      </w:r>
    </w:p>
    <w:p w14:paraId="5ECA0123">
      <w:pPr>
        <w:pStyle w:val="20"/>
        <w:numPr>
          <w:ilvl w:val="2"/>
          <w:numId w:val="2"/>
        </w:numPr>
        <w:tabs>
          <w:tab w:val="left" w:pos="1276"/>
        </w:tabs>
        <w:spacing w:before="100" w:beforeAutospacing="1" w:line="360" w:lineRule="auto"/>
        <w:ind w:left="3081" w:leftChars="387" w:hanging="2230"/>
        <w:rPr>
          <w:rFonts w:hint="eastAsia" w:ascii="宋体" w:hAnsi="宋体" w:eastAsia="宋体" w:cs="楷体"/>
        </w:rPr>
      </w:pPr>
      <w:r>
        <w:rPr>
          <w:rFonts w:hint="eastAsia" w:ascii="宋体" w:hAnsi="宋体" w:eastAsia="宋体" w:cs="楷体"/>
        </w:rPr>
        <w:t>以邮寄形式发出的，发往本市内的，发出后第【2】日视为送达。发</w:t>
      </w:r>
    </w:p>
    <w:p w14:paraId="069A873E">
      <w:pPr>
        <w:pStyle w:val="20"/>
        <w:tabs>
          <w:tab w:val="clear" w:pos="1700"/>
        </w:tabs>
        <w:spacing w:before="100" w:beforeAutospacing="1" w:line="360" w:lineRule="auto"/>
        <w:ind w:left="851" w:firstLine="0"/>
        <w:rPr>
          <w:rFonts w:hint="eastAsia" w:ascii="宋体" w:hAnsi="宋体" w:eastAsia="宋体" w:cs="楷体"/>
        </w:rPr>
      </w:pPr>
      <w:r>
        <w:rPr>
          <w:rFonts w:hint="eastAsia" w:ascii="宋体" w:hAnsi="宋体" w:eastAsia="宋体" w:cs="楷体"/>
        </w:rPr>
        <w:t>往国内其他地区的，发出后第【4】日视为送达；</w:t>
      </w:r>
    </w:p>
    <w:p w14:paraId="7142FBBC">
      <w:pPr>
        <w:pStyle w:val="20"/>
        <w:numPr>
          <w:ilvl w:val="2"/>
          <w:numId w:val="2"/>
        </w:numPr>
        <w:tabs>
          <w:tab w:val="left" w:pos="1276"/>
        </w:tabs>
        <w:spacing w:before="100" w:beforeAutospacing="1" w:line="360" w:lineRule="auto"/>
        <w:ind w:left="2621" w:leftChars="387" w:hanging="1770"/>
        <w:rPr>
          <w:rFonts w:hint="eastAsia" w:ascii="宋体" w:hAnsi="宋体" w:eastAsia="宋体" w:cs="楷体"/>
        </w:rPr>
      </w:pPr>
      <w:r>
        <w:rPr>
          <w:rFonts w:hint="eastAsia" w:ascii="宋体" w:hAnsi="宋体" w:eastAsia="宋体" w:cs="楷体"/>
        </w:rPr>
        <w:t>以电子邮件形式发出的，发送成功视为送达。</w:t>
      </w:r>
    </w:p>
    <w:p w14:paraId="31C04D90">
      <w:pPr>
        <w:pStyle w:val="19"/>
        <w:numPr>
          <w:ilvl w:val="1"/>
          <w:numId w:val="2"/>
        </w:numPr>
        <w:spacing w:before="100" w:beforeAutospacing="1" w:line="360" w:lineRule="auto"/>
        <w:rPr>
          <w:rFonts w:hint="eastAsia" w:ascii="宋体" w:hAnsi="宋体" w:eastAsia="宋体" w:cs="楷体"/>
          <w:szCs w:val="24"/>
          <w:shd w:val="clear" w:color="auto" w:fill="FFFFFF"/>
        </w:rPr>
      </w:pPr>
      <w:r>
        <w:rPr>
          <w:rFonts w:hint="eastAsia" w:ascii="宋体" w:hAnsi="宋体" w:eastAsia="宋体" w:cs="楷体"/>
          <w:szCs w:val="24"/>
        </w:rPr>
        <w:t>法院可直接邮寄送达至本协议确认的送达地址，即使当事人未能收到法院邮寄送达的文书，由于本协议约定，也视为送达。</w:t>
      </w:r>
    </w:p>
    <w:p w14:paraId="396C674D">
      <w:pPr>
        <w:pStyle w:val="11"/>
        <w:widowControl/>
        <w:numPr>
          <w:ilvl w:val="0"/>
          <w:numId w:val="1"/>
        </w:numPr>
        <w:spacing w:before="100" w:beforeLines="0" w:beforeAutospacing="1" w:after="240" w:afterLines="0"/>
        <w:jc w:val="left"/>
        <w:rPr>
          <w:rFonts w:hint="eastAsia" w:ascii="宋体" w:hAnsi="宋体" w:eastAsia="宋体" w:cs="楷体"/>
          <w:sz w:val="24"/>
          <w:szCs w:val="24"/>
        </w:rPr>
      </w:pPr>
      <w:bookmarkStart w:id="39" w:name="_Toc12689"/>
      <w:bookmarkStart w:id="40" w:name="_Toc34058077"/>
      <w:r>
        <w:rPr>
          <w:rFonts w:hint="eastAsia" w:ascii="宋体" w:hAnsi="宋体" w:eastAsia="宋体" w:cs="楷体"/>
          <w:sz w:val="24"/>
          <w:szCs w:val="24"/>
        </w:rPr>
        <w:t>生效条款</w:t>
      </w:r>
      <w:bookmarkEnd w:id="39"/>
      <w:bookmarkEnd w:id="40"/>
    </w:p>
    <w:p w14:paraId="0EC3D496">
      <w:pPr>
        <w:pStyle w:val="19"/>
        <w:numPr>
          <w:ilvl w:val="1"/>
          <w:numId w:val="2"/>
        </w:numPr>
        <w:spacing w:before="100" w:beforeAutospacing="1" w:line="360" w:lineRule="auto"/>
        <w:rPr>
          <w:rFonts w:hint="eastAsia" w:ascii="宋体" w:hAnsi="宋体" w:eastAsia="宋体" w:cs="楷体"/>
          <w:szCs w:val="24"/>
          <w:shd w:val="clear" w:color="auto" w:fill="FFFFFF"/>
        </w:rPr>
      </w:pPr>
      <w:r>
        <w:rPr>
          <w:rFonts w:hint="eastAsia" w:ascii="宋体" w:hAnsi="宋体" w:eastAsia="宋体" w:cs="楷体"/>
          <w:szCs w:val="24"/>
        </w:rPr>
        <w:t>本协议经双方法定代表人或委托代理人签字或盖章，并加盖公章或合同专用章后生效;</w:t>
      </w:r>
    </w:p>
    <w:p w14:paraId="09BF2948">
      <w:pPr>
        <w:pStyle w:val="19"/>
        <w:numPr>
          <w:ilvl w:val="1"/>
          <w:numId w:val="2"/>
        </w:numPr>
        <w:spacing w:before="100" w:beforeAutospacing="1" w:line="360" w:lineRule="auto"/>
        <w:rPr>
          <w:rFonts w:hint="eastAsia" w:ascii="宋体" w:hAnsi="宋体" w:eastAsia="宋体" w:cs="楷体"/>
          <w:szCs w:val="24"/>
          <w:shd w:val="clear" w:color="auto" w:fill="FFFFFF"/>
        </w:rPr>
      </w:pPr>
      <w:r>
        <w:rPr>
          <w:rFonts w:hint="eastAsia" w:ascii="宋体" w:hAnsi="宋体" w:eastAsia="宋体" w:cs="楷体"/>
          <w:szCs w:val="24"/>
        </w:rPr>
        <w:t>本协议如有未尽事宜，双方可通过协商签订补充协议，补充协议与本协议具有同等法律效力。</w:t>
      </w:r>
    </w:p>
    <w:p w14:paraId="059F57C5">
      <w:pPr>
        <w:pStyle w:val="11"/>
        <w:widowControl/>
        <w:numPr>
          <w:ilvl w:val="0"/>
          <w:numId w:val="1"/>
        </w:numPr>
        <w:spacing w:before="100" w:beforeLines="0" w:beforeAutospacing="1" w:after="240" w:afterLines="0"/>
        <w:jc w:val="left"/>
        <w:rPr>
          <w:rFonts w:hint="eastAsia" w:ascii="宋体" w:hAnsi="宋体" w:eastAsia="宋体" w:cs="楷体"/>
          <w:sz w:val="24"/>
          <w:szCs w:val="24"/>
        </w:rPr>
      </w:pPr>
      <w:bookmarkStart w:id="41" w:name="_Toc478057816"/>
      <w:bookmarkEnd w:id="41"/>
      <w:bookmarkStart w:id="42" w:name="_Toc34058078"/>
      <w:bookmarkStart w:id="43" w:name="_Toc26743"/>
      <w:r>
        <w:rPr>
          <w:rFonts w:hint="eastAsia" w:ascii="宋体" w:hAnsi="宋体" w:eastAsia="宋体" w:cs="楷体"/>
          <w:sz w:val="24"/>
          <w:szCs w:val="24"/>
        </w:rPr>
        <w:t>法律适用与争议解决</w:t>
      </w:r>
      <w:bookmarkEnd w:id="42"/>
      <w:bookmarkEnd w:id="43"/>
    </w:p>
    <w:p w14:paraId="4CF6E546">
      <w:pPr>
        <w:pStyle w:val="19"/>
        <w:numPr>
          <w:ilvl w:val="1"/>
          <w:numId w:val="2"/>
        </w:numPr>
        <w:spacing w:before="100" w:beforeAutospacing="1" w:line="360" w:lineRule="auto"/>
        <w:rPr>
          <w:rFonts w:hint="eastAsia" w:ascii="宋体" w:hAnsi="宋体" w:eastAsia="宋体" w:cs="楷体"/>
          <w:szCs w:val="24"/>
          <w:shd w:val="clear" w:color="auto" w:fill="FFFFFF"/>
        </w:rPr>
      </w:pPr>
      <w:r>
        <w:rPr>
          <w:rFonts w:hint="eastAsia" w:ascii="宋体" w:hAnsi="宋体" w:eastAsia="宋体" w:cs="楷体"/>
          <w:szCs w:val="24"/>
        </w:rPr>
        <w:t>因本协议发生的争议，由甲、乙双方友好协商解决，如不能协商解决，交由合同签订地（北京市通州区）有管辖权的人民法院裁决。</w:t>
      </w:r>
    </w:p>
    <w:p w14:paraId="36C69DED">
      <w:pPr>
        <w:pStyle w:val="11"/>
        <w:widowControl/>
        <w:numPr>
          <w:ilvl w:val="0"/>
          <w:numId w:val="1"/>
        </w:numPr>
        <w:spacing w:before="100" w:beforeLines="0" w:beforeAutospacing="1" w:after="240" w:afterLines="0"/>
        <w:jc w:val="left"/>
        <w:rPr>
          <w:rFonts w:hint="eastAsia" w:ascii="宋体" w:hAnsi="宋体" w:eastAsia="宋体" w:cs="楷体"/>
          <w:sz w:val="24"/>
          <w:szCs w:val="24"/>
        </w:rPr>
      </w:pPr>
      <w:bookmarkStart w:id="44" w:name="_Toc21633"/>
      <w:bookmarkStart w:id="45" w:name="_Toc34058079"/>
      <w:r>
        <w:rPr>
          <w:rFonts w:hint="eastAsia" w:ascii="宋体" w:hAnsi="宋体" w:eastAsia="宋体" w:cs="楷体"/>
          <w:sz w:val="24"/>
          <w:szCs w:val="24"/>
        </w:rPr>
        <w:t>其他</w:t>
      </w:r>
      <w:bookmarkEnd w:id="44"/>
      <w:bookmarkEnd w:id="45"/>
    </w:p>
    <w:p w14:paraId="7CA54B5C">
      <w:pPr>
        <w:pStyle w:val="19"/>
        <w:numPr>
          <w:ilvl w:val="1"/>
          <w:numId w:val="2"/>
        </w:numPr>
        <w:spacing w:before="100" w:beforeAutospacing="1" w:line="360" w:lineRule="auto"/>
        <w:rPr>
          <w:rFonts w:hint="eastAsia" w:ascii="宋体" w:hAnsi="宋体" w:eastAsia="宋体"/>
          <w:szCs w:val="24"/>
          <w:u w:val="single"/>
        </w:rPr>
      </w:pPr>
      <w:r>
        <w:rPr>
          <w:rFonts w:hint="eastAsia" w:ascii="宋体" w:hAnsi="宋体" w:eastAsia="宋体" w:cs="楷体"/>
          <w:szCs w:val="24"/>
        </w:rPr>
        <w:t>本协议经甲乙双方友好协商，达成以下补充条款，该补充条款是本协议的有效组成部分：</w:t>
      </w:r>
      <w:r>
        <w:rPr>
          <w:rFonts w:hint="eastAsia" w:ascii="宋体" w:hAnsi="宋体" w:eastAsia="宋体"/>
          <w:szCs w:val="24"/>
          <w:u w:val="single"/>
        </w:rPr>
        <w:t xml:space="preserve">         /          </w:t>
      </w:r>
    </w:p>
    <w:p w14:paraId="6C490673">
      <w:pPr>
        <w:pStyle w:val="19"/>
        <w:numPr>
          <w:ilvl w:val="1"/>
          <w:numId w:val="2"/>
        </w:numPr>
        <w:spacing w:before="100" w:beforeAutospacing="1" w:line="360" w:lineRule="auto"/>
        <w:rPr>
          <w:rFonts w:hint="eastAsia" w:ascii="宋体" w:hAnsi="宋体" w:eastAsia="宋体" w:cs="楷体"/>
          <w:szCs w:val="24"/>
          <w:shd w:val="clear" w:color="auto" w:fill="FFFFFF"/>
        </w:rPr>
      </w:pPr>
      <w:r>
        <w:rPr>
          <w:rFonts w:hint="eastAsia" w:ascii="宋体" w:hAnsi="宋体" w:eastAsia="宋体" w:cs="楷体"/>
          <w:szCs w:val="24"/>
        </w:rPr>
        <w:t>本协议一式【陆】份，甲乙双方各执【叁】份，每份具有同等法律效力。</w:t>
      </w:r>
    </w:p>
    <w:p w14:paraId="488957B2">
      <w:pPr>
        <w:autoSpaceDE/>
        <w:spacing w:line="360" w:lineRule="auto"/>
        <w:jc w:val="both"/>
        <w:outlineLvl w:val="1"/>
        <w:rPr>
          <w:rFonts w:hint="eastAsia" w:ascii="仿宋" w:hAnsi="仿宋" w:eastAsia="楷体" w:cs="Times New Roman"/>
          <w:bCs/>
          <w:kern w:val="2"/>
          <w:sz w:val="24"/>
          <w:szCs w:val="24"/>
          <w:lang w:eastAsia="zh-CN"/>
        </w:rPr>
      </w:pPr>
      <w:bookmarkStart w:id="46" w:name="OLE_LINK13"/>
      <w:bookmarkEnd w:id="46"/>
      <w:r>
        <w:rPr>
          <w:rFonts w:hint="eastAsia" w:cs="Times New Roman"/>
          <w:bCs/>
          <w:sz w:val="24"/>
          <w:szCs w:val="24"/>
          <w:lang w:eastAsia="zh-CN"/>
        </w:rPr>
        <w:t>11.3  协议附件</w:t>
      </w:r>
    </w:p>
    <w:p w14:paraId="57F6337C">
      <w:pPr>
        <w:autoSpaceDE/>
        <w:spacing w:line="360" w:lineRule="auto"/>
        <w:ind w:left="440" w:leftChars="200"/>
        <w:jc w:val="both"/>
        <w:rPr>
          <w:rFonts w:hint="eastAsia" w:ascii="仿宋" w:hAnsi="仿宋" w:eastAsia="楷体" w:cs="Times New Roman"/>
          <w:kern w:val="2"/>
          <w:sz w:val="24"/>
          <w:szCs w:val="24"/>
          <w:lang w:eastAsia="zh-CN"/>
        </w:rPr>
      </w:pPr>
      <w:r>
        <w:rPr>
          <w:rFonts w:hint="eastAsia" w:cs="Times New Roman"/>
          <w:b/>
          <w:bCs/>
          <w:sz w:val="24"/>
          <w:szCs w:val="24"/>
          <w:lang w:eastAsia="zh-CN"/>
        </w:rPr>
        <w:t xml:space="preserve">   </w:t>
      </w:r>
      <w:r>
        <w:rPr>
          <w:rFonts w:hint="eastAsia" w:cs="Times New Roman"/>
          <w:sz w:val="24"/>
          <w:szCs w:val="24"/>
          <w:lang w:eastAsia="zh-CN"/>
        </w:rPr>
        <w:t xml:space="preserve"> 1、中标通知书</w:t>
      </w:r>
    </w:p>
    <w:p w14:paraId="1B220480">
      <w:pPr>
        <w:autoSpaceDE/>
        <w:spacing w:line="360" w:lineRule="auto"/>
        <w:ind w:left="440" w:leftChars="200" w:firstLine="492"/>
        <w:jc w:val="both"/>
        <w:rPr>
          <w:rFonts w:hint="eastAsia" w:ascii="仿宋" w:hAnsi="仿宋" w:eastAsia="楷体" w:cs="Times New Roman"/>
          <w:kern w:val="2"/>
          <w:sz w:val="24"/>
          <w:szCs w:val="24"/>
          <w:lang w:eastAsia="zh-CN"/>
        </w:rPr>
      </w:pPr>
      <w:r>
        <w:rPr>
          <w:rFonts w:hint="eastAsia" w:cs="Times New Roman"/>
          <w:sz w:val="24"/>
          <w:szCs w:val="24"/>
          <w:lang w:eastAsia="zh-CN"/>
        </w:rPr>
        <w:t>2、分项报价表（如有）</w:t>
      </w:r>
    </w:p>
    <w:p w14:paraId="03135DEC">
      <w:pPr>
        <w:autoSpaceDE/>
        <w:spacing w:line="360" w:lineRule="auto"/>
        <w:ind w:left="440" w:leftChars="200" w:firstLine="492"/>
        <w:jc w:val="both"/>
        <w:rPr>
          <w:rFonts w:hint="eastAsia" w:ascii="仿宋" w:hAnsi="仿宋" w:eastAsia="楷体" w:cs="Times New Roman"/>
          <w:kern w:val="2"/>
          <w:sz w:val="24"/>
          <w:szCs w:val="24"/>
          <w:lang w:eastAsia="zh-CN"/>
        </w:rPr>
      </w:pPr>
      <w:r>
        <w:rPr>
          <w:rFonts w:hint="eastAsia" w:cs="Times New Roman"/>
          <w:sz w:val="24"/>
          <w:szCs w:val="24"/>
          <w:lang w:eastAsia="zh-CN"/>
        </w:rPr>
        <w:t>3、拟投入本项目团队人员情况</w:t>
      </w:r>
    </w:p>
    <w:p w14:paraId="1906DBC9">
      <w:pPr>
        <w:autoSpaceDE/>
        <w:spacing w:after="240" w:line="360" w:lineRule="auto"/>
        <w:ind w:left="440" w:leftChars="200" w:firstLine="493"/>
        <w:jc w:val="both"/>
        <w:rPr>
          <w:rFonts w:hint="eastAsia" w:ascii="仿宋" w:hAnsi="仿宋" w:eastAsia="楷体" w:cs="Times New Roman"/>
          <w:kern w:val="2"/>
          <w:sz w:val="24"/>
          <w:szCs w:val="24"/>
          <w:u w:val="single"/>
          <w:lang w:eastAsia="zh-CN"/>
        </w:rPr>
      </w:pPr>
      <w:r>
        <w:rPr>
          <w:rFonts w:hint="eastAsia" w:cs="Times New Roman"/>
          <w:sz w:val="24"/>
          <w:szCs w:val="24"/>
          <w:lang w:eastAsia="zh-CN"/>
        </w:rPr>
        <w:t xml:space="preserve">4、其他 </w:t>
      </w:r>
      <w:r>
        <w:rPr>
          <w:rFonts w:hint="eastAsia" w:cs="Times New Roman"/>
          <w:sz w:val="24"/>
          <w:szCs w:val="24"/>
          <w:u w:val="single"/>
          <w:lang w:eastAsia="zh-CN"/>
        </w:rPr>
        <w:t xml:space="preserve">    /    </w:t>
      </w:r>
    </w:p>
    <w:p w14:paraId="372A7894">
      <w:pPr>
        <w:spacing w:line="360" w:lineRule="auto"/>
        <w:rPr>
          <w:rFonts w:hint="eastAsia" w:cs="Times New Roman"/>
          <w:sz w:val="24"/>
          <w:szCs w:val="24"/>
          <w:lang w:eastAsia="zh-CN"/>
        </w:rPr>
      </w:pPr>
      <w:r>
        <w:rPr>
          <w:rFonts w:hint="eastAsia" w:cs="Times New Roman"/>
          <w:sz w:val="24"/>
          <w:szCs w:val="24"/>
          <w:lang w:eastAsia="zh-CN"/>
        </w:rPr>
        <w:t>（以下无正文）</w:t>
      </w:r>
    </w:p>
    <w:p w14:paraId="736085FA">
      <w:pPr>
        <w:rPr>
          <w:rFonts w:hint="eastAsia" w:cs="楷体"/>
          <w:sz w:val="24"/>
          <w:szCs w:val="24"/>
          <w:lang w:eastAsia="zh-CN"/>
        </w:rPr>
      </w:pPr>
    </w:p>
    <w:p w14:paraId="5900BB35">
      <w:pPr>
        <w:autoSpaceDE/>
        <w:spacing w:line="360" w:lineRule="auto"/>
        <w:jc w:val="both"/>
        <w:rPr>
          <w:rFonts w:hint="eastAsia" w:cs="Times New Roman"/>
          <w:sz w:val="24"/>
          <w:szCs w:val="24"/>
          <w:lang w:eastAsia="zh-CN"/>
        </w:rPr>
      </w:pPr>
      <w:r>
        <w:rPr>
          <w:rFonts w:hint="eastAsia" w:cs="Times New Roman"/>
          <w:sz w:val="24"/>
          <w:szCs w:val="24"/>
          <w:lang w:eastAsia="zh-CN"/>
        </w:rPr>
        <w:t>（此页无正文，为《</w:t>
      </w:r>
      <w:r>
        <w:rPr>
          <w:rFonts w:hint="eastAsia" w:cs="楷体"/>
          <w:color w:val="000000"/>
          <w:sz w:val="24"/>
          <w:szCs w:val="24"/>
          <w:u w:val="single"/>
          <w:lang w:eastAsia="zh-CN"/>
        </w:rPr>
        <w:t>北苑家园中心项目各业态租售价格及物业费委托评估</w:t>
      </w:r>
      <w:r>
        <w:rPr>
          <w:rFonts w:hint="eastAsia" w:cs="Times New Roman"/>
          <w:sz w:val="24"/>
          <w:szCs w:val="24"/>
          <w:u w:val="single"/>
          <w:lang w:eastAsia="zh-CN"/>
        </w:rPr>
        <w:t xml:space="preserve">                </w:t>
      </w:r>
      <w:r>
        <w:rPr>
          <w:rFonts w:hint="eastAsia" w:cs="Times New Roman"/>
          <w:sz w:val="24"/>
          <w:szCs w:val="24"/>
          <w:lang w:eastAsia="zh-CN"/>
        </w:rPr>
        <w:t>项目咨询协议》的签章页）</w:t>
      </w:r>
    </w:p>
    <w:p w14:paraId="0C1AD5F8">
      <w:pPr>
        <w:autoSpaceDE/>
        <w:spacing w:line="360" w:lineRule="auto"/>
        <w:jc w:val="both"/>
        <w:rPr>
          <w:rFonts w:hint="eastAsia" w:cs="Times New Roman"/>
          <w:sz w:val="24"/>
          <w:szCs w:val="24"/>
          <w:lang w:eastAsia="zh-CN"/>
        </w:rPr>
      </w:pPr>
    </w:p>
    <w:p w14:paraId="7C8F4C47">
      <w:pPr>
        <w:autoSpaceDE/>
        <w:spacing w:after="240" w:line="560" w:lineRule="exact"/>
        <w:ind w:left="440" w:leftChars="200" w:firstLine="493"/>
        <w:jc w:val="both"/>
        <w:rPr>
          <w:rFonts w:hint="eastAsia" w:cs="Times New Roman"/>
          <w:sz w:val="24"/>
          <w:szCs w:val="24"/>
          <w:lang w:eastAsia="zh-CN"/>
        </w:rPr>
      </w:pPr>
      <w:r>
        <w:rPr>
          <w:rFonts w:hint="eastAsia" w:cs="Times New Roman"/>
          <w:sz w:val="24"/>
          <w:szCs w:val="24"/>
          <w:lang w:eastAsia="zh-CN"/>
        </w:rPr>
        <w:t>甲方：北京通投兴苑置业有限公司（盖章）：</w:t>
      </w:r>
    </w:p>
    <w:p w14:paraId="206E410C">
      <w:pPr>
        <w:autoSpaceDE/>
        <w:spacing w:after="240" w:line="560" w:lineRule="exact"/>
        <w:ind w:left="440" w:leftChars="200" w:firstLine="493"/>
        <w:jc w:val="both"/>
        <w:rPr>
          <w:rFonts w:hint="eastAsia" w:cs="Times New Roman"/>
          <w:sz w:val="24"/>
          <w:szCs w:val="24"/>
          <w:lang w:eastAsia="zh-CN"/>
        </w:rPr>
      </w:pPr>
      <w:r>
        <w:rPr>
          <w:rFonts w:hint="eastAsia" w:cs="Times New Roman"/>
          <w:sz w:val="24"/>
          <w:szCs w:val="24"/>
          <w:lang w:eastAsia="zh-CN"/>
        </w:rPr>
        <w:t>法定代表人或委托代理人（签字/盖章）：</w:t>
      </w:r>
    </w:p>
    <w:p w14:paraId="73C1B96D">
      <w:pPr>
        <w:autoSpaceDE/>
        <w:spacing w:after="240" w:line="560" w:lineRule="exact"/>
        <w:ind w:left="440" w:leftChars="200" w:firstLine="493"/>
        <w:jc w:val="both"/>
        <w:rPr>
          <w:rFonts w:hint="eastAsia" w:cs="Times New Roman"/>
          <w:sz w:val="24"/>
          <w:szCs w:val="24"/>
          <w:lang w:eastAsia="zh-CN"/>
        </w:rPr>
      </w:pPr>
      <w:r>
        <w:rPr>
          <w:rFonts w:hint="eastAsia" w:cs="Times New Roman"/>
          <w:sz w:val="24"/>
          <w:szCs w:val="24"/>
          <w:lang w:eastAsia="zh-CN"/>
        </w:rPr>
        <w:t xml:space="preserve">签订日期：    年    月    日         </w:t>
      </w:r>
    </w:p>
    <w:p w14:paraId="69F3804F">
      <w:pPr>
        <w:autoSpaceDE/>
        <w:spacing w:after="240" w:line="560" w:lineRule="exact"/>
        <w:ind w:left="440" w:leftChars="200" w:firstLine="493"/>
        <w:jc w:val="both"/>
        <w:rPr>
          <w:rFonts w:hint="eastAsia" w:cs="Times New Roman"/>
          <w:sz w:val="24"/>
          <w:szCs w:val="24"/>
          <w:lang w:eastAsia="zh-CN"/>
        </w:rPr>
      </w:pPr>
      <w:r>
        <w:rPr>
          <w:rFonts w:hint="eastAsia" w:cs="Times New Roman"/>
          <w:sz w:val="24"/>
          <w:szCs w:val="24"/>
          <w:lang w:eastAsia="zh-CN"/>
        </w:rPr>
        <w:t>乙方：（盖章）：北京康正宏基房地产评估有限公司</w:t>
      </w:r>
    </w:p>
    <w:p w14:paraId="3D8E3E53">
      <w:pPr>
        <w:autoSpaceDE/>
        <w:spacing w:after="240" w:line="560" w:lineRule="exact"/>
        <w:ind w:left="440" w:leftChars="200" w:firstLine="493"/>
        <w:jc w:val="both"/>
        <w:rPr>
          <w:rFonts w:hint="eastAsia" w:cs="Times New Roman"/>
          <w:sz w:val="24"/>
          <w:szCs w:val="24"/>
          <w:lang w:eastAsia="zh-CN"/>
        </w:rPr>
      </w:pPr>
      <w:r>
        <w:rPr>
          <w:rFonts w:hint="eastAsia" w:cs="Times New Roman"/>
          <w:sz w:val="24"/>
          <w:szCs w:val="24"/>
          <w:lang w:eastAsia="zh-CN"/>
        </w:rPr>
        <w:t>法定代表人或委托代理人(签字/盖章)：</w:t>
      </w:r>
    </w:p>
    <w:p w14:paraId="14F9D803">
      <w:pPr>
        <w:autoSpaceDE/>
        <w:spacing w:after="240" w:line="560" w:lineRule="exact"/>
        <w:ind w:left="440" w:leftChars="200" w:firstLine="493"/>
        <w:jc w:val="both"/>
        <w:rPr>
          <w:rFonts w:hint="eastAsia" w:cs="Times New Roman"/>
          <w:sz w:val="24"/>
          <w:szCs w:val="24"/>
          <w:lang w:eastAsia="zh-CN"/>
        </w:rPr>
      </w:pPr>
      <w:r>
        <w:rPr>
          <w:rFonts w:hint="eastAsia" w:cs="Times New Roman"/>
          <w:sz w:val="24"/>
          <w:szCs w:val="24"/>
          <w:lang w:eastAsia="zh-CN"/>
        </w:rPr>
        <w:t xml:space="preserve">签订日期：    年    月    日       </w:t>
      </w:r>
    </w:p>
    <w:bookmarkEnd w:id="1"/>
    <w:bookmarkEnd w:id="2"/>
    <w:bookmarkEnd w:id="3"/>
    <w:bookmarkEnd w:id="4"/>
    <w:p w14:paraId="4FE0A71B">
      <w:pPr>
        <w:snapToGrid w:val="0"/>
        <w:spacing w:line="360" w:lineRule="auto"/>
        <w:rPr>
          <w:rFonts w:hint="eastAsia"/>
          <w:lang w:eastAsia="zh-CN"/>
        </w:rPr>
        <w:sectPr>
          <w:footerReference r:id="rId4" w:type="default"/>
          <w:pgSz w:w="11906" w:h="16838"/>
          <w:pgMar w:top="1440" w:right="1800" w:bottom="1440" w:left="1800" w:header="851" w:footer="992" w:gutter="0"/>
          <w:pgNumType w:start="1"/>
          <w:cols w:space="425" w:num="1"/>
          <w:docGrid w:type="lines" w:linePitch="312" w:charSpace="0"/>
        </w:sectPr>
      </w:pPr>
    </w:p>
    <w:p w14:paraId="7877A39A">
      <w:pPr>
        <w:snapToGrid w:val="0"/>
        <w:spacing w:line="360" w:lineRule="auto"/>
        <w:rPr>
          <w:rFonts w:hint="eastAsia"/>
          <w:sz w:val="24"/>
          <w:szCs w:val="24"/>
          <w:lang w:eastAsia="zh-CN"/>
        </w:rPr>
      </w:pPr>
      <w:r>
        <w:rPr>
          <w:rFonts w:hint="eastAsia"/>
          <w:sz w:val="24"/>
          <w:szCs w:val="24"/>
          <w:lang w:eastAsia="zh-CN"/>
        </w:rPr>
        <w:t>附件1</w:t>
      </w:r>
    </w:p>
    <w:p w14:paraId="20CC4142">
      <w:pPr>
        <w:snapToGrid w:val="0"/>
        <w:spacing w:line="360" w:lineRule="auto"/>
        <w:rPr>
          <w:rFonts w:hint="eastAsia"/>
          <w:sz w:val="24"/>
          <w:szCs w:val="24"/>
          <w:lang w:eastAsia="zh-CN"/>
        </w:rPr>
      </w:pPr>
    </w:p>
    <w:p w14:paraId="56F0539F">
      <w:pPr>
        <w:snapToGrid w:val="0"/>
        <w:spacing w:line="360" w:lineRule="auto"/>
        <w:rPr>
          <w:rFonts w:hint="eastAsia"/>
          <w:lang w:eastAsia="zh-CN"/>
        </w:rPr>
        <w:sectPr>
          <w:pgSz w:w="11906" w:h="16838"/>
          <w:pgMar w:top="1440" w:right="1800" w:bottom="1440" w:left="1800" w:header="851" w:footer="992" w:gutter="0"/>
          <w:cols w:space="425" w:num="1"/>
          <w:docGrid w:type="lines" w:linePitch="312" w:charSpace="0"/>
        </w:sectPr>
      </w:pPr>
    </w:p>
    <w:p w14:paraId="5CC4E203">
      <w:pPr>
        <w:snapToGrid w:val="0"/>
        <w:spacing w:line="360" w:lineRule="auto"/>
        <w:rPr>
          <w:rFonts w:hint="eastAsia"/>
          <w:sz w:val="24"/>
          <w:szCs w:val="24"/>
          <w:lang w:eastAsia="zh-CN"/>
        </w:rPr>
      </w:pPr>
      <w:r>
        <w:rPr>
          <w:rFonts w:hint="eastAsia"/>
          <w:sz w:val="24"/>
          <w:szCs w:val="24"/>
          <w:lang w:eastAsia="zh-CN"/>
        </w:rPr>
        <w:t>附件2</w:t>
      </w:r>
    </w:p>
    <w:p w14:paraId="081F7279">
      <w:pPr>
        <w:snapToGrid w:val="0"/>
        <w:spacing w:line="360" w:lineRule="auto"/>
        <w:jc w:val="center"/>
        <w:rPr>
          <w:rFonts w:hint="eastAsia"/>
          <w:sz w:val="24"/>
          <w:szCs w:val="24"/>
          <w:lang w:eastAsia="zh-CN"/>
        </w:rPr>
      </w:pPr>
      <w:r>
        <w:rPr>
          <w:rFonts w:hint="eastAsia"/>
          <w:sz w:val="24"/>
          <w:szCs w:val="24"/>
          <w:lang w:eastAsia="zh-CN"/>
        </w:rPr>
        <w:t>分项报价表</w:t>
      </w:r>
    </w:p>
    <w:tbl>
      <w:tblPr>
        <w:tblStyle w:val="13"/>
        <w:tblW w:w="8522"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723"/>
        <w:gridCol w:w="3495"/>
        <w:gridCol w:w="1455"/>
        <w:gridCol w:w="1594"/>
        <w:gridCol w:w="1255"/>
      </w:tblGrid>
      <w:tr w14:paraId="63988A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30" w:hRule="atLeast"/>
        </w:trPr>
        <w:tc>
          <w:tcPr>
            <w:tcW w:w="723" w:type="dxa"/>
            <w:tcBorders>
              <w:top w:val="single" w:color="auto" w:sz="4" w:space="0"/>
              <w:left w:val="single" w:color="auto" w:sz="4" w:space="0"/>
              <w:bottom w:val="single" w:color="auto" w:sz="4" w:space="0"/>
              <w:right w:val="single" w:color="auto" w:sz="4" w:space="0"/>
            </w:tcBorders>
            <w:vAlign w:val="center"/>
          </w:tcPr>
          <w:p w14:paraId="39773638">
            <w:pPr>
              <w:pStyle w:val="24"/>
              <w:jc w:val="center"/>
              <w:rPr>
                <w:rFonts w:hint="eastAsia"/>
                <w:bCs/>
                <w:snapToGrid w:val="0"/>
                <w:sz w:val="24"/>
                <w:szCs w:val="24"/>
              </w:rPr>
            </w:pPr>
            <w:r>
              <w:rPr>
                <w:rFonts w:hint="eastAsia"/>
                <w:bCs/>
                <w:snapToGrid w:val="0"/>
                <w:sz w:val="24"/>
                <w:szCs w:val="24"/>
              </w:rPr>
              <w:t>序号</w:t>
            </w:r>
          </w:p>
        </w:tc>
        <w:tc>
          <w:tcPr>
            <w:tcW w:w="3495" w:type="dxa"/>
            <w:tcBorders>
              <w:top w:val="single" w:color="auto" w:sz="4" w:space="0"/>
              <w:left w:val="single" w:color="auto" w:sz="4" w:space="0"/>
              <w:bottom w:val="single" w:color="auto" w:sz="4" w:space="0"/>
              <w:right w:val="single" w:color="auto" w:sz="4" w:space="0"/>
            </w:tcBorders>
            <w:vAlign w:val="center"/>
          </w:tcPr>
          <w:p w14:paraId="2D67C6E8">
            <w:pPr>
              <w:pStyle w:val="24"/>
              <w:jc w:val="center"/>
              <w:rPr>
                <w:rFonts w:hint="eastAsia"/>
                <w:bCs/>
                <w:snapToGrid w:val="0"/>
                <w:sz w:val="24"/>
                <w:szCs w:val="24"/>
              </w:rPr>
            </w:pPr>
            <w:r>
              <w:rPr>
                <w:bCs/>
                <w:snapToGrid w:val="0"/>
                <w:sz w:val="24"/>
                <w:szCs w:val="24"/>
              </w:rPr>
              <w:t>名称</w:t>
            </w:r>
          </w:p>
        </w:tc>
        <w:tc>
          <w:tcPr>
            <w:tcW w:w="1455" w:type="dxa"/>
            <w:tcBorders>
              <w:top w:val="single" w:color="auto" w:sz="4" w:space="0"/>
              <w:left w:val="single" w:color="auto" w:sz="4" w:space="0"/>
              <w:bottom w:val="single" w:color="auto" w:sz="4" w:space="0"/>
              <w:right w:val="single" w:color="auto" w:sz="4" w:space="0"/>
            </w:tcBorders>
            <w:vAlign w:val="center"/>
          </w:tcPr>
          <w:p w14:paraId="01466D7B">
            <w:pPr>
              <w:pStyle w:val="24"/>
              <w:tabs>
                <w:tab w:val="left" w:pos="828"/>
              </w:tabs>
              <w:jc w:val="center"/>
              <w:rPr>
                <w:rFonts w:hint="eastAsia"/>
                <w:bCs/>
                <w:snapToGrid w:val="0"/>
                <w:sz w:val="24"/>
                <w:szCs w:val="24"/>
              </w:rPr>
            </w:pPr>
            <w:r>
              <w:rPr>
                <w:rFonts w:hint="eastAsia"/>
                <w:bCs/>
                <w:snapToGrid w:val="0"/>
                <w:sz w:val="24"/>
                <w:szCs w:val="24"/>
                <w:lang w:eastAsia="zh-CN"/>
              </w:rPr>
              <w:t>单价（元）</w:t>
            </w:r>
          </w:p>
        </w:tc>
        <w:tc>
          <w:tcPr>
            <w:tcW w:w="1594" w:type="dxa"/>
            <w:tcBorders>
              <w:top w:val="single" w:color="auto" w:sz="4" w:space="0"/>
              <w:left w:val="single" w:color="auto" w:sz="4" w:space="0"/>
              <w:bottom w:val="single" w:color="auto" w:sz="4" w:space="0"/>
              <w:right w:val="single" w:color="auto" w:sz="4" w:space="0"/>
            </w:tcBorders>
            <w:vAlign w:val="center"/>
          </w:tcPr>
          <w:p w14:paraId="05E2A7D5">
            <w:pPr>
              <w:pStyle w:val="24"/>
              <w:tabs>
                <w:tab w:val="left" w:pos="828"/>
              </w:tabs>
              <w:jc w:val="center"/>
              <w:rPr>
                <w:rFonts w:hint="eastAsia"/>
                <w:bCs/>
                <w:snapToGrid w:val="0"/>
                <w:sz w:val="24"/>
                <w:szCs w:val="24"/>
                <w:lang w:eastAsia="zh-CN"/>
              </w:rPr>
            </w:pPr>
            <w:r>
              <w:rPr>
                <w:rFonts w:hint="eastAsia"/>
                <w:bCs/>
                <w:snapToGrid w:val="0"/>
                <w:sz w:val="24"/>
                <w:szCs w:val="24"/>
                <w:lang w:eastAsia="zh-CN"/>
              </w:rPr>
              <w:t>数量</w:t>
            </w:r>
          </w:p>
          <w:p w14:paraId="634D46EF">
            <w:pPr>
              <w:pStyle w:val="24"/>
              <w:tabs>
                <w:tab w:val="left" w:pos="828"/>
              </w:tabs>
              <w:jc w:val="center"/>
              <w:rPr>
                <w:rFonts w:hint="eastAsia"/>
                <w:bCs/>
                <w:snapToGrid w:val="0"/>
                <w:sz w:val="24"/>
                <w:szCs w:val="24"/>
                <w:lang w:eastAsia="zh-CN"/>
              </w:rPr>
            </w:pPr>
            <w:r>
              <w:rPr>
                <w:rFonts w:hint="eastAsia"/>
                <w:bCs/>
                <w:snapToGrid w:val="0"/>
                <w:sz w:val="24"/>
                <w:szCs w:val="24"/>
                <w:lang w:eastAsia="zh-CN"/>
              </w:rPr>
              <w:t>（项/件/人）</w:t>
            </w:r>
          </w:p>
        </w:tc>
        <w:tc>
          <w:tcPr>
            <w:tcW w:w="1255" w:type="dxa"/>
            <w:tcBorders>
              <w:top w:val="single" w:color="auto" w:sz="4" w:space="0"/>
              <w:left w:val="single" w:color="auto" w:sz="4" w:space="0"/>
              <w:bottom w:val="single" w:color="auto" w:sz="4" w:space="0"/>
              <w:right w:val="single" w:color="auto" w:sz="4" w:space="0"/>
            </w:tcBorders>
            <w:vAlign w:val="center"/>
          </w:tcPr>
          <w:p w14:paraId="26A718C6">
            <w:pPr>
              <w:pStyle w:val="24"/>
              <w:tabs>
                <w:tab w:val="left" w:pos="828"/>
              </w:tabs>
              <w:jc w:val="center"/>
              <w:rPr>
                <w:rFonts w:hint="eastAsia"/>
                <w:bCs/>
                <w:snapToGrid w:val="0"/>
                <w:sz w:val="24"/>
                <w:szCs w:val="24"/>
                <w:lang w:eastAsia="zh-CN"/>
              </w:rPr>
            </w:pPr>
            <w:r>
              <w:rPr>
                <w:rFonts w:hint="eastAsia"/>
                <w:bCs/>
                <w:snapToGrid w:val="0"/>
                <w:sz w:val="24"/>
                <w:szCs w:val="24"/>
                <w:lang w:eastAsia="zh-CN"/>
              </w:rPr>
              <w:t>分项总价</w:t>
            </w:r>
          </w:p>
          <w:p w14:paraId="736E2544">
            <w:pPr>
              <w:pStyle w:val="24"/>
              <w:tabs>
                <w:tab w:val="left" w:pos="828"/>
              </w:tabs>
              <w:jc w:val="center"/>
              <w:rPr>
                <w:rFonts w:hint="eastAsia"/>
                <w:bCs/>
                <w:snapToGrid w:val="0"/>
                <w:sz w:val="24"/>
                <w:szCs w:val="24"/>
                <w:lang w:eastAsia="zh-CN"/>
              </w:rPr>
            </w:pPr>
            <w:r>
              <w:rPr>
                <w:rFonts w:hint="eastAsia"/>
                <w:bCs/>
                <w:snapToGrid w:val="0"/>
                <w:sz w:val="24"/>
                <w:szCs w:val="24"/>
                <w:lang w:eastAsia="zh-CN"/>
              </w:rPr>
              <w:t>（元）</w:t>
            </w:r>
          </w:p>
        </w:tc>
      </w:tr>
      <w:tr w14:paraId="34840B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68" w:hRule="atLeast"/>
        </w:trPr>
        <w:tc>
          <w:tcPr>
            <w:tcW w:w="723" w:type="dxa"/>
            <w:tcBorders>
              <w:top w:val="single" w:color="auto" w:sz="4" w:space="0"/>
              <w:left w:val="single" w:color="auto" w:sz="4" w:space="0"/>
              <w:bottom w:val="single" w:color="auto" w:sz="4" w:space="0"/>
              <w:right w:val="single" w:color="auto" w:sz="4" w:space="0"/>
            </w:tcBorders>
            <w:vAlign w:val="center"/>
          </w:tcPr>
          <w:p w14:paraId="6E073B60">
            <w:pPr>
              <w:pStyle w:val="24"/>
              <w:jc w:val="center"/>
              <w:rPr>
                <w:rFonts w:hint="eastAsia"/>
                <w:snapToGrid w:val="0"/>
                <w:sz w:val="24"/>
                <w:szCs w:val="24"/>
              </w:rPr>
            </w:pPr>
            <w:r>
              <w:rPr>
                <w:snapToGrid w:val="0"/>
                <w:sz w:val="24"/>
                <w:szCs w:val="24"/>
              </w:rPr>
              <w:t>1</w:t>
            </w:r>
          </w:p>
        </w:tc>
        <w:tc>
          <w:tcPr>
            <w:tcW w:w="3495" w:type="dxa"/>
            <w:tcBorders>
              <w:top w:val="single" w:color="auto" w:sz="4" w:space="0"/>
              <w:left w:val="single" w:color="auto" w:sz="4" w:space="0"/>
              <w:bottom w:val="single" w:color="auto" w:sz="4" w:space="0"/>
              <w:right w:val="single" w:color="auto" w:sz="4" w:space="0"/>
            </w:tcBorders>
            <w:vAlign w:val="center"/>
          </w:tcPr>
          <w:p w14:paraId="267DC604">
            <w:pPr>
              <w:jc w:val="center"/>
              <w:rPr>
                <w:rFonts w:hint="eastAsia"/>
                <w:snapToGrid w:val="0"/>
                <w:sz w:val="24"/>
                <w:szCs w:val="24"/>
                <w:lang w:eastAsia="zh-CN"/>
              </w:rPr>
            </w:pPr>
            <w:r>
              <w:rPr>
                <w:rFonts w:hint="eastAsia" w:asciiTheme="minorHAnsi" w:hAnsiTheme="minorHAnsi" w:eastAsiaTheme="minorHAnsi"/>
                <w:szCs w:val="24"/>
              </w:rPr>
              <w:t>自持办公租金评估</w:t>
            </w:r>
          </w:p>
        </w:tc>
        <w:tc>
          <w:tcPr>
            <w:tcW w:w="1455" w:type="dxa"/>
            <w:tcBorders>
              <w:top w:val="single" w:color="auto" w:sz="4" w:space="0"/>
              <w:left w:val="single" w:color="auto" w:sz="4" w:space="0"/>
              <w:bottom w:val="single" w:color="auto" w:sz="4" w:space="0"/>
              <w:right w:val="single" w:color="auto" w:sz="4" w:space="0"/>
            </w:tcBorders>
            <w:vAlign w:val="center"/>
          </w:tcPr>
          <w:p w14:paraId="42224FE9">
            <w:pPr>
              <w:jc w:val="center"/>
              <w:rPr>
                <w:rFonts w:hint="eastAsia"/>
                <w:bCs/>
                <w:snapToGrid w:val="0"/>
                <w:sz w:val="24"/>
                <w:szCs w:val="24"/>
                <w:lang w:eastAsia="zh-CN"/>
              </w:rPr>
            </w:pPr>
            <w:r>
              <w:rPr>
                <w:rFonts w:hint="eastAsia"/>
                <w:bCs/>
                <w:snapToGrid w:val="0"/>
                <w:sz w:val="24"/>
                <w:szCs w:val="24"/>
                <w:lang w:eastAsia="zh-CN"/>
              </w:rPr>
              <w:t>10000</w:t>
            </w:r>
          </w:p>
        </w:tc>
        <w:tc>
          <w:tcPr>
            <w:tcW w:w="1594" w:type="dxa"/>
            <w:tcBorders>
              <w:top w:val="single" w:color="auto" w:sz="4" w:space="0"/>
              <w:left w:val="single" w:color="auto" w:sz="4" w:space="0"/>
              <w:bottom w:val="single" w:color="auto" w:sz="4" w:space="0"/>
              <w:right w:val="single" w:color="auto" w:sz="4" w:space="0"/>
            </w:tcBorders>
            <w:vAlign w:val="center"/>
          </w:tcPr>
          <w:p w14:paraId="396069EC">
            <w:pPr>
              <w:pStyle w:val="24"/>
              <w:spacing w:line="360" w:lineRule="auto"/>
              <w:ind w:firstLine="4" w:firstLineChars="2"/>
              <w:jc w:val="center"/>
              <w:rPr>
                <w:rFonts w:hint="eastAsia"/>
                <w:snapToGrid w:val="0"/>
                <w:sz w:val="24"/>
                <w:szCs w:val="24"/>
                <w:lang w:eastAsia="zh-CN"/>
              </w:rPr>
            </w:pPr>
            <w:r>
              <w:rPr>
                <w:rFonts w:hint="eastAsia"/>
                <w:snapToGrid w:val="0"/>
                <w:sz w:val="24"/>
                <w:szCs w:val="24"/>
                <w:lang w:eastAsia="zh-CN"/>
              </w:rPr>
              <w:t>1</w:t>
            </w:r>
          </w:p>
        </w:tc>
        <w:tc>
          <w:tcPr>
            <w:tcW w:w="1255" w:type="dxa"/>
            <w:tcBorders>
              <w:top w:val="single" w:color="auto" w:sz="4" w:space="0"/>
              <w:left w:val="single" w:color="auto" w:sz="4" w:space="0"/>
              <w:bottom w:val="single" w:color="auto" w:sz="4" w:space="0"/>
              <w:right w:val="single" w:color="auto" w:sz="4" w:space="0"/>
            </w:tcBorders>
            <w:vAlign w:val="center"/>
          </w:tcPr>
          <w:p w14:paraId="42CC5920">
            <w:pPr>
              <w:jc w:val="center"/>
              <w:rPr>
                <w:rFonts w:hint="eastAsia"/>
                <w:snapToGrid w:val="0"/>
                <w:sz w:val="24"/>
                <w:szCs w:val="24"/>
                <w:lang w:eastAsia="zh-CN"/>
              </w:rPr>
            </w:pPr>
            <w:r>
              <w:rPr>
                <w:rFonts w:hint="eastAsia"/>
                <w:bCs/>
                <w:snapToGrid w:val="0"/>
                <w:sz w:val="24"/>
                <w:szCs w:val="24"/>
                <w:lang w:eastAsia="zh-CN"/>
              </w:rPr>
              <w:t>10000</w:t>
            </w:r>
          </w:p>
        </w:tc>
      </w:tr>
      <w:tr w14:paraId="3CF4100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2" w:hRule="atLeast"/>
        </w:trPr>
        <w:tc>
          <w:tcPr>
            <w:tcW w:w="723" w:type="dxa"/>
            <w:tcBorders>
              <w:top w:val="single" w:color="auto" w:sz="4" w:space="0"/>
              <w:left w:val="single" w:color="auto" w:sz="4" w:space="0"/>
              <w:bottom w:val="single" w:color="auto" w:sz="4" w:space="0"/>
              <w:right w:val="single" w:color="auto" w:sz="4" w:space="0"/>
            </w:tcBorders>
            <w:vAlign w:val="center"/>
          </w:tcPr>
          <w:p w14:paraId="48A7BC52">
            <w:pPr>
              <w:pStyle w:val="24"/>
              <w:ind w:firstLine="4" w:firstLineChars="2"/>
              <w:jc w:val="center"/>
              <w:rPr>
                <w:rFonts w:hint="eastAsia"/>
                <w:snapToGrid w:val="0"/>
                <w:sz w:val="24"/>
                <w:szCs w:val="24"/>
              </w:rPr>
            </w:pPr>
            <w:r>
              <w:rPr>
                <w:snapToGrid w:val="0"/>
                <w:sz w:val="24"/>
                <w:szCs w:val="24"/>
              </w:rPr>
              <w:t>2</w:t>
            </w:r>
          </w:p>
        </w:tc>
        <w:tc>
          <w:tcPr>
            <w:tcW w:w="3495" w:type="dxa"/>
            <w:tcBorders>
              <w:top w:val="single" w:color="auto" w:sz="4" w:space="0"/>
              <w:left w:val="single" w:color="auto" w:sz="4" w:space="0"/>
              <w:bottom w:val="single" w:color="auto" w:sz="4" w:space="0"/>
              <w:right w:val="single" w:color="auto" w:sz="4" w:space="0"/>
            </w:tcBorders>
            <w:vAlign w:val="center"/>
          </w:tcPr>
          <w:p w14:paraId="65F07924">
            <w:pPr>
              <w:jc w:val="center"/>
              <w:rPr>
                <w:rFonts w:hint="eastAsia"/>
                <w:snapToGrid w:val="0"/>
                <w:sz w:val="24"/>
                <w:szCs w:val="24"/>
                <w:lang w:eastAsia="zh-CN"/>
              </w:rPr>
            </w:pPr>
            <w:r>
              <w:rPr>
                <w:rFonts w:hint="eastAsia" w:asciiTheme="minorHAnsi" w:hAnsiTheme="minorHAnsi" w:eastAsiaTheme="minorHAnsi"/>
                <w:szCs w:val="24"/>
              </w:rPr>
              <w:t>可售办公售价评估</w:t>
            </w:r>
          </w:p>
        </w:tc>
        <w:tc>
          <w:tcPr>
            <w:tcW w:w="1455" w:type="dxa"/>
            <w:tcBorders>
              <w:top w:val="single" w:color="auto" w:sz="4" w:space="0"/>
              <w:left w:val="single" w:color="auto" w:sz="4" w:space="0"/>
              <w:bottom w:val="single" w:color="auto" w:sz="4" w:space="0"/>
              <w:right w:val="single" w:color="auto" w:sz="4" w:space="0"/>
            </w:tcBorders>
            <w:vAlign w:val="center"/>
          </w:tcPr>
          <w:p w14:paraId="556454BC">
            <w:pPr>
              <w:jc w:val="center"/>
              <w:rPr>
                <w:rFonts w:hint="eastAsia"/>
                <w:bCs/>
                <w:snapToGrid w:val="0"/>
                <w:sz w:val="24"/>
                <w:szCs w:val="24"/>
                <w:lang w:eastAsia="zh-CN"/>
              </w:rPr>
            </w:pPr>
            <w:r>
              <w:rPr>
                <w:rFonts w:hint="eastAsia"/>
                <w:bCs/>
                <w:snapToGrid w:val="0"/>
                <w:sz w:val="24"/>
                <w:szCs w:val="24"/>
                <w:lang w:eastAsia="zh-CN"/>
              </w:rPr>
              <w:t>10000</w:t>
            </w:r>
          </w:p>
        </w:tc>
        <w:tc>
          <w:tcPr>
            <w:tcW w:w="1594" w:type="dxa"/>
            <w:tcBorders>
              <w:top w:val="single" w:color="auto" w:sz="4" w:space="0"/>
              <w:left w:val="single" w:color="auto" w:sz="4" w:space="0"/>
              <w:bottom w:val="single" w:color="auto" w:sz="4" w:space="0"/>
              <w:right w:val="single" w:color="auto" w:sz="4" w:space="0"/>
            </w:tcBorders>
            <w:vAlign w:val="center"/>
          </w:tcPr>
          <w:p w14:paraId="05139767">
            <w:pPr>
              <w:pStyle w:val="24"/>
              <w:spacing w:line="360" w:lineRule="auto"/>
              <w:ind w:firstLine="4" w:firstLineChars="2"/>
              <w:jc w:val="center"/>
              <w:rPr>
                <w:rFonts w:hint="eastAsia"/>
                <w:snapToGrid w:val="0"/>
                <w:sz w:val="24"/>
                <w:szCs w:val="24"/>
                <w:lang w:eastAsia="zh-CN"/>
              </w:rPr>
            </w:pPr>
            <w:r>
              <w:rPr>
                <w:rFonts w:hint="eastAsia"/>
                <w:snapToGrid w:val="0"/>
                <w:sz w:val="24"/>
                <w:szCs w:val="24"/>
                <w:lang w:eastAsia="zh-CN"/>
              </w:rPr>
              <w:t>1</w:t>
            </w:r>
          </w:p>
        </w:tc>
        <w:tc>
          <w:tcPr>
            <w:tcW w:w="1255" w:type="dxa"/>
            <w:tcBorders>
              <w:top w:val="single" w:color="auto" w:sz="4" w:space="0"/>
              <w:left w:val="single" w:color="auto" w:sz="4" w:space="0"/>
              <w:bottom w:val="single" w:color="auto" w:sz="4" w:space="0"/>
              <w:right w:val="single" w:color="auto" w:sz="4" w:space="0"/>
            </w:tcBorders>
            <w:vAlign w:val="center"/>
          </w:tcPr>
          <w:p w14:paraId="5BA3FB7F">
            <w:pPr>
              <w:jc w:val="center"/>
              <w:rPr>
                <w:rFonts w:hint="eastAsia"/>
                <w:snapToGrid w:val="0"/>
                <w:sz w:val="24"/>
                <w:szCs w:val="24"/>
                <w:lang w:eastAsia="zh-CN"/>
              </w:rPr>
            </w:pPr>
            <w:r>
              <w:rPr>
                <w:rFonts w:hint="eastAsia"/>
                <w:bCs/>
                <w:snapToGrid w:val="0"/>
                <w:sz w:val="24"/>
                <w:szCs w:val="24"/>
                <w:lang w:eastAsia="zh-CN"/>
              </w:rPr>
              <w:t>10000</w:t>
            </w:r>
          </w:p>
        </w:tc>
      </w:tr>
      <w:tr w14:paraId="37480EA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2" w:hRule="atLeast"/>
        </w:trPr>
        <w:tc>
          <w:tcPr>
            <w:tcW w:w="723" w:type="dxa"/>
            <w:tcBorders>
              <w:top w:val="single" w:color="auto" w:sz="4" w:space="0"/>
              <w:left w:val="single" w:color="auto" w:sz="4" w:space="0"/>
              <w:bottom w:val="single" w:color="auto" w:sz="4" w:space="0"/>
              <w:right w:val="single" w:color="auto" w:sz="4" w:space="0"/>
            </w:tcBorders>
            <w:vAlign w:val="center"/>
          </w:tcPr>
          <w:p w14:paraId="7A16BA2C">
            <w:pPr>
              <w:pStyle w:val="24"/>
              <w:ind w:firstLine="4" w:firstLineChars="2"/>
              <w:jc w:val="center"/>
              <w:rPr>
                <w:rFonts w:hint="eastAsia"/>
                <w:snapToGrid w:val="0"/>
                <w:sz w:val="24"/>
                <w:szCs w:val="24"/>
              </w:rPr>
            </w:pPr>
            <w:r>
              <w:rPr>
                <w:snapToGrid w:val="0"/>
                <w:sz w:val="24"/>
                <w:szCs w:val="24"/>
              </w:rPr>
              <w:t>3</w:t>
            </w:r>
          </w:p>
        </w:tc>
        <w:tc>
          <w:tcPr>
            <w:tcW w:w="3495" w:type="dxa"/>
            <w:tcBorders>
              <w:top w:val="single" w:color="auto" w:sz="4" w:space="0"/>
              <w:left w:val="single" w:color="auto" w:sz="4" w:space="0"/>
              <w:bottom w:val="single" w:color="auto" w:sz="4" w:space="0"/>
              <w:right w:val="single" w:color="auto" w:sz="4" w:space="0"/>
            </w:tcBorders>
            <w:vAlign w:val="center"/>
          </w:tcPr>
          <w:p w14:paraId="54F11295">
            <w:pPr>
              <w:jc w:val="center"/>
              <w:rPr>
                <w:rFonts w:hint="eastAsia"/>
                <w:snapToGrid w:val="0"/>
                <w:sz w:val="24"/>
                <w:szCs w:val="24"/>
                <w:lang w:eastAsia="zh-CN"/>
              </w:rPr>
            </w:pPr>
            <w:r>
              <w:rPr>
                <w:rFonts w:hint="eastAsia" w:asciiTheme="minorHAnsi" w:hAnsiTheme="minorHAnsi" w:eastAsiaTheme="minorHAnsi"/>
                <w:szCs w:val="24"/>
              </w:rPr>
              <w:t>商业租金评估</w:t>
            </w:r>
          </w:p>
        </w:tc>
        <w:tc>
          <w:tcPr>
            <w:tcW w:w="1455" w:type="dxa"/>
            <w:tcBorders>
              <w:top w:val="single" w:color="auto" w:sz="4" w:space="0"/>
              <w:left w:val="single" w:color="auto" w:sz="4" w:space="0"/>
              <w:bottom w:val="single" w:color="auto" w:sz="4" w:space="0"/>
              <w:right w:val="single" w:color="auto" w:sz="4" w:space="0"/>
            </w:tcBorders>
            <w:vAlign w:val="center"/>
          </w:tcPr>
          <w:p w14:paraId="3F62CDD9">
            <w:pPr>
              <w:jc w:val="center"/>
              <w:rPr>
                <w:rFonts w:hint="eastAsia"/>
                <w:bCs/>
                <w:snapToGrid w:val="0"/>
                <w:sz w:val="24"/>
                <w:szCs w:val="24"/>
                <w:lang w:eastAsia="zh-CN"/>
              </w:rPr>
            </w:pPr>
            <w:r>
              <w:rPr>
                <w:rFonts w:hint="eastAsia"/>
                <w:bCs/>
                <w:snapToGrid w:val="0"/>
                <w:sz w:val="24"/>
                <w:szCs w:val="24"/>
                <w:lang w:eastAsia="zh-CN"/>
              </w:rPr>
              <w:t>5000</w:t>
            </w:r>
          </w:p>
        </w:tc>
        <w:tc>
          <w:tcPr>
            <w:tcW w:w="1594" w:type="dxa"/>
            <w:tcBorders>
              <w:top w:val="single" w:color="auto" w:sz="4" w:space="0"/>
              <w:left w:val="single" w:color="auto" w:sz="4" w:space="0"/>
              <w:bottom w:val="single" w:color="auto" w:sz="4" w:space="0"/>
              <w:right w:val="single" w:color="auto" w:sz="4" w:space="0"/>
            </w:tcBorders>
            <w:vAlign w:val="center"/>
          </w:tcPr>
          <w:p w14:paraId="4C7FD101">
            <w:pPr>
              <w:pStyle w:val="24"/>
              <w:spacing w:line="360" w:lineRule="auto"/>
              <w:ind w:firstLine="4" w:firstLineChars="2"/>
              <w:jc w:val="center"/>
              <w:rPr>
                <w:rFonts w:hint="eastAsia"/>
                <w:snapToGrid w:val="0"/>
                <w:sz w:val="24"/>
                <w:szCs w:val="24"/>
                <w:lang w:eastAsia="zh-CN"/>
              </w:rPr>
            </w:pPr>
            <w:r>
              <w:rPr>
                <w:rFonts w:hint="eastAsia"/>
                <w:snapToGrid w:val="0"/>
                <w:sz w:val="24"/>
                <w:szCs w:val="24"/>
                <w:lang w:eastAsia="zh-CN"/>
              </w:rPr>
              <w:t>1</w:t>
            </w:r>
          </w:p>
        </w:tc>
        <w:tc>
          <w:tcPr>
            <w:tcW w:w="1255" w:type="dxa"/>
            <w:tcBorders>
              <w:top w:val="single" w:color="auto" w:sz="4" w:space="0"/>
              <w:left w:val="single" w:color="auto" w:sz="4" w:space="0"/>
              <w:bottom w:val="single" w:color="auto" w:sz="4" w:space="0"/>
              <w:right w:val="single" w:color="auto" w:sz="4" w:space="0"/>
            </w:tcBorders>
            <w:vAlign w:val="center"/>
          </w:tcPr>
          <w:p w14:paraId="5E81DEAA">
            <w:pPr>
              <w:jc w:val="center"/>
              <w:rPr>
                <w:rFonts w:hint="eastAsia"/>
                <w:snapToGrid w:val="0"/>
                <w:sz w:val="24"/>
                <w:szCs w:val="24"/>
                <w:lang w:eastAsia="zh-CN"/>
              </w:rPr>
            </w:pPr>
            <w:r>
              <w:rPr>
                <w:rFonts w:hint="eastAsia"/>
                <w:bCs/>
                <w:snapToGrid w:val="0"/>
                <w:sz w:val="24"/>
                <w:szCs w:val="24"/>
                <w:lang w:eastAsia="zh-CN"/>
              </w:rPr>
              <w:t>5000</w:t>
            </w:r>
          </w:p>
        </w:tc>
      </w:tr>
      <w:tr w14:paraId="3EEAA3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3" w:hRule="atLeast"/>
        </w:trPr>
        <w:tc>
          <w:tcPr>
            <w:tcW w:w="723" w:type="dxa"/>
            <w:tcBorders>
              <w:top w:val="single" w:color="auto" w:sz="4" w:space="0"/>
              <w:left w:val="single" w:color="auto" w:sz="4" w:space="0"/>
              <w:bottom w:val="single" w:color="auto" w:sz="4" w:space="0"/>
              <w:right w:val="single" w:color="auto" w:sz="4" w:space="0"/>
            </w:tcBorders>
            <w:vAlign w:val="center"/>
          </w:tcPr>
          <w:p w14:paraId="6266EFE9">
            <w:pPr>
              <w:pStyle w:val="24"/>
              <w:ind w:firstLine="4" w:firstLineChars="2"/>
              <w:jc w:val="center"/>
              <w:rPr>
                <w:rFonts w:hint="eastAsia"/>
                <w:snapToGrid w:val="0"/>
                <w:sz w:val="24"/>
                <w:szCs w:val="24"/>
              </w:rPr>
            </w:pPr>
            <w:r>
              <w:rPr>
                <w:snapToGrid w:val="0"/>
                <w:sz w:val="24"/>
                <w:szCs w:val="24"/>
              </w:rPr>
              <w:t>4</w:t>
            </w:r>
          </w:p>
        </w:tc>
        <w:tc>
          <w:tcPr>
            <w:tcW w:w="3495" w:type="dxa"/>
            <w:tcBorders>
              <w:top w:val="single" w:color="auto" w:sz="4" w:space="0"/>
              <w:left w:val="single" w:color="auto" w:sz="4" w:space="0"/>
              <w:bottom w:val="single" w:color="auto" w:sz="4" w:space="0"/>
              <w:right w:val="single" w:color="auto" w:sz="4" w:space="0"/>
            </w:tcBorders>
            <w:vAlign w:val="center"/>
          </w:tcPr>
          <w:p w14:paraId="220EB648">
            <w:pPr>
              <w:jc w:val="center"/>
              <w:rPr>
                <w:rFonts w:hint="eastAsia"/>
                <w:snapToGrid w:val="0"/>
                <w:sz w:val="24"/>
                <w:szCs w:val="24"/>
                <w:lang w:eastAsia="zh-CN"/>
              </w:rPr>
            </w:pPr>
            <w:r>
              <w:rPr>
                <w:rFonts w:hint="eastAsia" w:asciiTheme="minorHAnsi" w:hAnsiTheme="minorHAnsi" w:eastAsiaTheme="minorHAnsi"/>
                <w:szCs w:val="24"/>
              </w:rPr>
              <w:t>商业出售价格评估</w:t>
            </w:r>
          </w:p>
        </w:tc>
        <w:tc>
          <w:tcPr>
            <w:tcW w:w="1455" w:type="dxa"/>
            <w:tcBorders>
              <w:top w:val="single" w:color="auto" w:sz="4" w:space="0"/>
              <w:left w:val="single" w:color="auto" w:sz="4" w:space="0"/>
              <w:bottom w:val="single" w:color="auto" w:sz="4" w:space="0"/>
              <w:right w:val="single" w:color="auto" w:sz="4" w:space="0"/>
            </w:tcBorders>
            <w:vAlign w:val="center"/>
          </w:tcPr>
          <w:p w14:paraId="2973AC91">
            <w:pPr>
              <w:jc w:val="center"/>
              <w:rPr>
                <w:rFonts w:hint="eastAsia"/>
                <w:bCs/>
                <w:snapToGrid w:val="0"/>
                <w:sz w:val="24"/>
                <w:szCs w:val="24"/>
                <w:lang w:eastAsia="zh-CN"/>
              </w:rPr>
            </w:pPr>
            <w:r>
              <w:rPr>
                <w:rFonts w:hint="eastAsia"/>
                <w:bCs/>
                <w:snapToGrid w:val="0"/>
                <w:sz w:val="24"/>
                <w:szCs w:val="24"/>
                <w:lang w:eastAsia="zh-CN"/>
              </w:rPr>
              <w:t>5000</w:t>
            </w:r>
          </w:p>
        </w:tc>
        <w:tc>
          <w:tcPr>
            <w:tcW w:w="1594" w:type="dxa"/>
            <w:tcBorders>
              <w:top w:val="single" w:color="auto" w:sz="4" w:space="0"/>
              <w:left w:val="single" w:color="auto" w:sz="4" w:space="0"/>
              <w:bottom w:val="single" w:color="auto" w:sz="4" w:space="0"/>
              <w:right w:val="single" w:color="auto" w:sz="4" w:space="0"/>
            </w:tcBorders>
            <w:vAlign w:val="center"/>
          </w:tcPr>
          <w:p w14:paraId="55B00A4B">
            <w:pPr>
              <w:pStyle w:val="24"/>
              <w:spacing w:line="360" w:lineRule="auto"/>
              <w:ind w:firstLine="4" w:firstLineChars="2"/>
              <w:jc w:val="center"/>
              <w:rPr>
                <w:rFonts w:hint="eastAsia"/>
                <w:snapToGrid w:val="0"/>
                <w:sz w:val="24"/>
                <w:szCs w:val="24"/>
                <w:lang w:eastAsia="zh-CN"/>
              </w:rPr>
            </w:pPr>
            <w:r>
              <w:rPr>
                <w:rFonts w:hint="eastAsia"/>
                <w:snapToGrid w:val="0"/>
                <w:sz w:val="24"/>
                <w:szCs w:val="24"/>
                <w:lang w:eastAsia="zh-CN"/>
              </w:rPr>
              <w:t>1</w:t>
            </w:r>
          </w:p>
        </w:tc>
        <w:tc>
          <w:tcPr>
            <w:tcW w:w="1255" w:type="dxa"/>
            <w:tcBorders>
              <w:top w:val="single" w:color="auto" w:sz="4" w:space="0"/>
              <w:left w:val="single" w:color="auto" w:sz="4" w:space="0"/>
              <w:bottom w:val="single" w:color="auto" w:sz="4" w:space="0"/>
              <w:right w:val="single" w:color="auto" w:sz="4" w:space="0"/>
            </w:tcBorders>
            <w:vAlign w:val="center"/>
          </w:tcPr>
          <w:p w14:paraId="5D87D45C">
            <w:pPr>
              <w:jc w:val="center"/>
              <w:rPr>
                <w:rFonts w:hint="eastAsia"/>
                <w:snapToGrid w:val="0"/>
                <w:sz w:val="24"/>
                <w:szCs w:val="24"/>
                <w:lang w:eastAsia="zh-CN"/>
              </w:rPr>
            </w:pPr>
            <w:r>
              <w:rPr>
                <w:rFonts w:hint="eastAsia"/>
                <w:bCs/>
                <w:snapToGrid w:val="0"/>
                <w:sz w:val="24"/>
                <w:szCs w:val="24"/>
                <w:lang w:eastAsia="zh-CN"/>
              </w:rPr>
              <w:t>5000</w:t>
            </w:r>
          </w:p>
        </w:tc>
      </w:tr>
      <w:tr w14:paraId="21C070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2" w:hRule="atLeast"/>
        </w:trPr>
        <w:tc>
          <w:tcPr>
            <w:tcW w:w="723" w:type="dxa"/>
            <w:tcBorders>
              <w:top w:val="single" w:color="auto" w:sz="4" w:space="0"/>
              <w:left w:val="single" w:color="auto" w:sz="4" w:space="0"/>
              <w:bottom w:val="single" w:color="auto" w:sz="4" w:space="0"/>
              <w:right w:val="single" w:color="auto" w:sz="4" w:space="0"/>
            </w:tcBorders>
            <w:vAlign w:val="center"/>
          </w:tcPr>
          <w:p w14:paraId="4A92AD59">
            <w:pPr>
              <w:pStyle w:val="24"/>
              <w:ind w:firstLine="4" w:firstLineChars="2"/>
              <w:jc w:val="center"/>
              <w:rPr>
                <w:rFonts w:hint="eastAsia"/>
                <w:snapToGrid w:val="0"/>
                <w:sz w:val="24"/>
                <w:szCs w:val="24"/>
              </w:rPr>
            </w:pPr>
            <w:r>
              <w:rPr>
                <w:snapToGrid w:val="0"/>
                <w:sz w:val="24"/>
                <w:szCs w:val="24"/>
              </w:rPr>
              <w:t>5</w:t>
            </w:r>
          </w:p>
        </w:tc>
        <w:tc>
          <w:tcPr>
            <w:tcW w:w="3495" w:type="dxa"/>
            <w:tcBorders>
              <w:top w:val="single" w:color="auto" w:sz="4" w:space="0"/>
              <w:left w:val="single" w:color="auto" w:sz="4" w:space="0"/>
              <w:bottom w:val="single" w:color="auto" w:sz="4" w:space="0"/>
              <w:right w:val="single" w:color="auto" w:sz="4" w:space="0"/>
            </w:tcBorders>
            <w:vAlign w:val="center"/>
          </w:tcPr>
          <w:p w14:paraId="781112D5">
            <w:pPr>
              <w:jc w:val="center"/>
              <w:rPr>
                <w:rFonts w:hint="eastAsia"/>
                <w:snapToGrid w:val="0"/>
                <w:sz w:val="24"/>
                <w:szCs w:val="24"/>
                <w:lang w:eastAsia="zh-CN"/>
              </w:rPr>
            </w:pPr>
            <w:r>
              <w:rPr>
                <w:rFonts w:hint="eastAsia" w:asciiTheme="minorHAnsi" w:hAnsiTheme="minorHAnsi" w:eastAsiaTheme="minorHAnsi"/>
                <w:szCs w:val="24"/>
              </w:rPr>
              <w:t>机构养老底租评估</w:t>
            </w:r>
          </w:p>
        </w:tc>
        <w:tc>
          <w:tcPr>
            <w:tcW w:w="1455" w:type="dxa"/>
            <w:tcBorders>
              <w:top w:val="single" w:color="auto" w:sz="4" w:space="0"/>
              <w:left w:val="single" w:color="auto" w:sz="4" w:space="0"/>
              <w:bottom w:val="single" w:color="auto" w:sz="4" w:space="0"/>
              <w:right w:val="single" w:color="auto" w:sz="4" w:space="0"/>
            </w:tcBorders>
            <w:vAlign w:val="center"/>
          </w:tcPr>
          <w:p w14:paraId="420C7DF9">
            <w:pPr>
              <w:jc w:val="center"/>
              <w:rPr>
                <w:rFonts w:hint="eastAsia"/>
                <w:bCs/>
                <w:snapToGrid w:val="0"/>
                <w:sz w:val="24"/>
                <w:szCs w:val="24"/>
                <w:lang w:eastAsia="zh-CN"/>
              </w:rPr>
            </w:pPr>
            <w:r>
              <w:rPr>
                <w:rFonts w:hint="eastAsia"/>
                <w:bCs/>
                <w:snapToGrid w:val="0"/>
                <w:sz w:val="24"/>
                <w:szCs w:val="24"/>
                <w:lang w:eastAsia="zh-CN"/>
              </w:rPr>
              <w:t>10000</w:t>
            </w:r>
          </w:p>
        </w:tc>
        <w:tc>
          <w:tcPr>
            <w:tcW w:w="1594" w:type="dxa"/>
            <w:tcBorders>
              <w:top w:val="single" w:color="auto" w:sz="4" w:space="0"/>
              <w:left w:val="single" w:color="auto" w:sz="4" w:space="0"/>
              <w:bottom w:val="single" w:color="auto" w:sz="4" w:space="0"/>
              <w:right w:val="single" w:color="auto" w:sz="4" w:space="0"/>
            </w:tcBorders>
            <w:vAlign w:val="center"/>
          </w:tcPr>
          <w:p w14:paraId="74499863">
            <w:pPr>
              <w:pStyle w:val="24"/>
              <w:spacing w:line="360" w:lineRule="auto"/>
              <w:ind w:firstLine="4" w:firstLineChars="2"/>
              <w:jc w:val="center"/>
              <w:rPr>
                <w:rFonts w:hint="eastAsia"/>
                <w:snapToGrid w:val="0"/>
                <w:sz w:val="24"/>
                <w:szCs w:val="24"/>
                <w:lang w:eastAsia="zh-CN"/>
              </w:rPr>
            </w:pPr>
            <w:r>
              <w:rPr>
                <w:rFonts w:hint="eastAsia"/>
                <w:snapToGrid w:val="0"/>
                <w:sz w:val="24"/>
                <w:szCs w:val="24"/>
                <w:lang w:eastAsia="zh-CN"/>
              </w:rPr>
              <w:t>1</w:t>
            </w:r>
          </w:p>
        </w:tc>
        <w:tc>
          <w:tcPr>
            <w:tcW w:w="1255" w:type="dxa"/>
            <w:tcBorders>
              <w:top w:val="single" w:color="auto" w:sz="4" w:space="0"/>
              <w:left w:val="single" w:color="auto" w:sz="4" w:space="0"/>
              <w:bottom w:val="single" w:color="auto" w:sz="4" w:space="0"/>
              <w:right w:val="single" w:color="auto" w:sz="4" w:space="0"/>
            </w:tcBorders>
            <w:vAlign w:val="center"/>
          </w:tcPr>
          <w:p w14:paraId="4668137D">
            <w:pPr>
              <w:jc w:val="center"/>
              <w:rPr>
                <w:rFonts w:hint="eastAsia"/>
                <w:snapToGrid w:val="0"/>
                <w:sz w:val="24"/>
                <w:szCs w:val="24"/>
              </w:rPr>
            </w:pPr>
            <w:r>
              <w:rPr>
                <w:rFonts w:hint="eastAsia"/>
                <w:bCs/>
                <w:snapToGrid w:val="0"/>
                <w:sz w:val="24"/>
                <w:szCs w:val="24"/>
                <w:lang w:eastAsia="zh-CN"/>
              </w:rPr>
              <w:t>10000</w:t>
            </w:r>
          </w:p>
        </w:tc>
      </w:tr>
      <w:tr w14:paraId="6E6DCBE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3" w:hRule="atLeast"/>
        </w:trPr>
        <w:tc>
          <w:tcPr>
            <w:tcW w:w="723" w:type="dxa"/>
            <w:tcBorders>
              <w:top w:val="single" w:color="auto" w:sz="4" w:space="0"/>
              <w:left w:val="single" w:color="auto" w:sz="4" w:space="0"/>
              <w:bottom w:val="single" w:color="auto" w:sz="4" w:space="0"/>
              <w:right w:val="single" w:color="auto" w:sz="4" w:space="0"/>
            </w:tcBorders>
            <w:vAlign w:val="center"/>
          </w:tcPr>
          <w:p w14:paraId="6E9F899D">
            <w:pPr>
              <w:pStyle w:val="24"/>
              <w:ind w:firstLine="4" w:firstLineChars="2"/>
              <w:jc w:val="center"/>
              <w:rPr>
                <w:rFonts w:hint="eastAsia"/>
                <w:snapToGrid w:val="0"/>
                <w:sz w:val="24"/>
                <w:szCs w:val="24"/>
              </w:rPr>
            </w:pPr>
            <w:r>
              <w:rPr>
                <w:snapToGrid w:val="0"/>
                <w:sz w:val="24"/>
                <w:szCs w:val="24"/>
              </w:rPr>
              <w:t>6</w:t>
            </w:r>
          </w:p>
        </w:tc>
        <w:tc>
          <w:tcPr>
            <w:tcW w:w="3495" w:type="dxa"/>
            <w:tcBorders>
              <w:top w:val="single" w:color="auto" w:sz="4" w:space="0"/>
              <w:left w:val="single" w:color="auto" w:sz="4" w:space="0"/>
              <w:bottom w:val="single" w:color="auto" w:sz="4" w:space="0"/>
              <w:right w:val="single" w:color="auto" w:sz="4" w:space="0"/>
            </w:tcBorders>
            <w:vAlign w:val="center"/>
          </w:tcPr>
          <w:p w14:paraId="796F2C9D">
            <w:pPr>
              <w:jc w:val="center"/>
              <w:rPr>
                <w:rFonts w:hint="eastAsia"/>
                <w:snapToGrid w:val="0"/>
                <w:sz w:val="24"/>
                <w:szCs w:val="24"/>
                <w:lang w:eastAsia="zh-CN"/>
              </w:rPr>
            </w:pPr>
            <w:r>
              <w:rPr>
                <w:rFonts w:hint="eastAsia" w:asciiTheme="minorHAnsi" w:hAnsiTheme="minorHAnsi" w:eastAsiaTheme="minorHAnsi"/>
                <w:szCs w:val="24"/>
              </w:rPr>
              <w:t>物业费评估</w:t>
            </w:r>
          </w:p>
        </w:tc>
        <w:tc>
          <w:tcPr>
            <w:tcW w:w="1455" w:type="dxa"/>
            <w:tcBorders>
              <w:top w:val="single" w:color="auto" w:sz="4" w:space="0"/>
              <w:left w:val="single" w:color="auto" w:sz="4" w:space="0"/>
              <w:bottom w:val="single" w:color="auto" w:sz="4" w:space="0"/>
              <w:right w:val="single" w:color="auto" w:sz="4" w:space="0"/>
            </w:tcBorders>
            <w:vAlign w:val="center"/>
          </w:tcPr>
          <w:p w14:paraId="390F887C">
            <w:pPr>
              <w:jc w:val="center"/>
              <w:rPr>
                <w:rFonts w:hint="eastAsia"/>
                <w:bCs/>
                <w:snapToGrid w:val="0"/>
                <w:sz w:val="24"/>
                <w:szCs w:val="24"/>
                <w:lang w:eastAsia="zh-CN"/>
              </w:rPr>
            </w:pPr>
            <w:r>
              <w:rPr>
                <w:rFonts w:hint="eastAsia"/>
                <w:bCs/>
                <w:snapToGrid w:val="0"/>
                <w:sz w:val="24"/>
                <w:szCs w:val="24"/>
                <w:lang w:eastAsia="zh-CN"/>
              </w:rPr>
              <w:t>40000</w:t>
            </w:r>
          </w:p>
        </w:tc>
        <w:tc>
          <w:tcPr>
            <w:tcW w:w="1594" w:type="dxa"/>
            <w:tcBorders>
              <w:top w:val="single" w:color="auto" w:sz="4" w:space="0"/>
              <w:left w:val="single" w:color="auto" w:sz="4" w:space="0"/>
              <w:bottom w:val="single" w:color="auto" w:sz="4" w:space="0"/>
              <w:right w:val="single" w:color="auto" w:sz="4" w:space="0"/>
            </w:tcBorders>
            <w:vAlign w:val="center"/>
          </w:tcPr>
          <w:p w14:paraId="23F3C3DB">
            <w:pPr>
              <w:pStyle w:val="24"/>
              <w:spacing w:line="360" w:lineRule="auto"/>
              <w:ind w:firstLine="4" w:firstLineChars="2"/>
              <w:jc w:val="center"/>
              <w:rPr>
                <w:rFonts w:hint="eastAsia"/>
                <w:snapToGrid w:val="0"/>
                <w:sz w:val="24"/>
                <w:szCs w:val="24"/>
                <w:lang w:eastAsia="zh-CN"/>
              </w:rPr>
            </w:pPr>
            <w:r>
              <w:rPr>
                <w:rFonts w:hint="eastAsia"/>
                <w:snapToGrid w:val="0"/>
                <w:sz w:val="24"/>
                <w:szCs w:val="24"/>
                <w:lang w:eastAsia="zh-CN"/>
              </w:rPr>
              <w:t>1</w:t>
            </w:r>
          </w:p>
        </w:tc>
        <w:tc>
          <w:tcPr>
            <w:tcW w:w="1255" w:type="dxa"/>
            <w:tcBorders>
              <w:top w:val="single" w:color="auto" w:sz="4" w:space="0"/>
              <w:left w:val="single" w:color="auto" w:sz="4" w:space="0"/>
              <w:bottom w:val="single" w:color="auto" w:sz="4" w:space="0"/>
              <w:right w:val="single" w:color="auto" w:sz="4" w:space="0"/>
            </w:tcBorders>
            <w:vAlign w:val="center"/>
          </w:tcPr>
          <w:p w14:paraId="59AD74FC">
            <w:pPr>
              <w:jc w:val="center"/>
              <w:rPr>
                <w:rFonts w:hint="eastAsia"/>
                <w:snapToGrid w:val="0"/>
                <w:sz w:val="24"/>
                <w:szCs w:val="24"/>
                <w:lang w:eastAsia="zh-CN"/>
              </w:rPr>
            </w:pPr>
            <w:r>
              <w:rPr>
                <w:rFonts w:hint="eastAsia"/>
                <w:bCs/>
                <w:snapToGrid w:val="0"/>
                <w:sz w:val="24"/>
                <w:szCs w:val="24"/>
                <w:lang w:eastAsia="zh-CN"/>
              </w:rPr>
              <w:t>40000</w:t>
            </w:r>
          </w:p>
        </w:tc>
      </w:tr>
      <w:tr w14:paraId="3DBDA0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2" w:hRule="atLeast"/>
        </w:trPr>
        <w:tc>
          <w:tcPr>
            <w:tcW w:w="723" w:type="dxa"/>
            <w:tcBorders>
              <w:top w:val="single" w:color="auto" w:sz="4" w:space="0"/>
              <w:left w:val="single" w:color="auto" w:sz="4" w:space="0"/>
              <w:bottom w:val="single" w:color="auto" w:sz="4" w:space="0"/>
              <w:right w:val="single" w:color="auto" w:sz="4" w:space="0"/>
            </w:tcBorders>
            <w:vAlign w:val="center"/>
          </w:tcPr>
          <w:p w14:paraId="5CF1198D">
            <w:pPr>
              <w:pStyle w:val="24"/>
              <w:ind w:firstLine="4" w:firstLineChars="2"/>
              <w:jc w:val="center"/>
              <w:rPr>
                <w:rFonts w:hint="eastAsia"/>
                <w:snapToGrid w:val="0"/>
                <w:sz w:val="24"/>
                <w:szCs w:val="24"/>
                <w:lang w:eastAsia="zh-CN"/>
              </w:rPr>
            </w:pPr>
            <w:r>
              <w:rPr>
                <w:rFonts w:hint="eastAsia"/>
                <w:snapToGrid w:val="0"/>
                <w:sz w:val="24"/>
                <w:szCs w:val="24"/>
                <w:lang w:eastAsia="zh-CN"/>
              </w:rPr>
              <w:t>7</w:t>
            </w:r>
          </w:p>
        </w:tc>
        <w:tc>
          <w:tcPr>
            <w:tcW w:w="3495" w:type="dxa"/>
            <w:tcBorders>
              <w:top w:val="single" w:color="auto" w:sz="4" w:space="0"/>
              <w:left w:val="single" w:color="auto" w:sz="4" w:space="0"/>
              <w:bottom w:val="single" w:color="auto" w:sz="4" w:space="0"/>
              <w:right w:val="single" w:color="auto" w:sz="4" w:space="0"/>
            </w:tcBorders>
            <w:vAlign w:val="center"/>
          </w:tcPr>
          <w:p w14:paraId="44952527">
            <w:pPr>
              <w:jc w:val="center"/>
              <w:rPr>
                <w:rFonts w:hint="eastAsia"/>
                <w:snapToGrid w:val="0"/>
                <w:sz w:val="24"/>
                <w:szCs w:val="24"/>
                <w:lang w:eastAsia="zh-CN"/>
              </w:rPr>
            </w:pPr>
            <w:r>
              <w:rPr>
                <w:rFonts w:hint="eastAsia" w:asciiTheme="minorHAnsi" w:hAnsiTheme="minorHAnsi" w:eastAsiaTheme="minorHAnsi"/>
                <w:szCs w:val="24"/>
              </w:rPr>
              <w:t>车位租金评估</w:t>
            </w:r>
          </w:p>
        </w:tc>
        <w:tc>
          <w:tcPr>
            <w:tcW w:w="1455" w:type="dxa"/>
            <w:tcBorders>
              <w:top w:val="single" w:color="auto" w:sz="4" w:space="0"/>
              <w:left w:val="single" w:color="auto" w:sz="4" w:space="0"/>
              <w:bottom w:val="single" w:color="auto" w:sz="4" w:space="0"/>
              <w:right w:val="single" w:color="auto" w:sz="4" w:space="0"/>
            </w:tcBorders>
            <w:vAlign w:val="center"/>
          </w:tcPr>
          <w:p w14:paraId="0E1CCED0">
            <w:pPr>
              <w:jc w:val="center"/>
              <w:rPr>
                <w:rFonts w:hint="eastAsia"/>
                <w:bCs/>
                <w:snapToGrid w:val="0"/>
                <w:sz w:val="24"/>
                <w:szCs w:val="24"/>
                <w:lang w:eastAsia="zh-CN"/>
              </w:rPr>
            </w:pPr>
            <w:r>
              <w:rPr>
                <w:rFonts w:hint="eastAsia"/>
                <w:bCs/>
                <w:snapToGrid w:val="0"/>
                <w:sz w:val="24"/>
                <w:szCs w:val="24"/>
                <w:lang w:eastAsia="zh-CN"/>
              </w:rPr>
              <w:t>5000</w:t>
            </w:r>
          </w:p>
        </w:tc>
        <w:tc>
          <w:tcPr>
            <w:tcW w:w="1594" w:type="dxa"/>
            <w:tcBorders>
              <w:top w:val="single" w:color="auto" w:sz="4" w:space="0"/>
              <w:left w:val="single" w:color="auto" w:sz="4" w:space="0"/>
              <w:bottom w:val="single" w:color="auto" w:sz="4" w:space="0"/>
              <w:right w:val="single" w:color="auto" w:sz="4" w:space="0"/>
            </w:tcBorders>
            <w:vAlign w:val="center"/>
          </w:tcPr>
          <w:p w14:paraId="481603F1">
            <w:pPr>
              <w:pStyle w:val="24"/>
              <w:ind w:firstLine="4" w:firstLineChars="2"/>
              <w:jc w:val="center"/>
              <w:rPr>
                <w:rFonts w:hint="eastAsia"/>
                <w:snapToGrid w:val="0"/>
                <w:sz w:val="24"/>
                <w:szCs w:val="24"/>
                <w:lang w:eastAsia="zh-CN"/>
              </w:rPr>
            </w:pPr>
            <w:r>
              <w:rPr>
                <w:rFonts w:hint="eastAsia"/>
                <w:snapToGrid w:val="0"/>
                <w:sz w:val="24"/>
                <w:szCs w:val="24"/>
                <w:lang w:eastAsia="zh-CN"/>
              </w:rPr>
              <w:t>1</w:t>
            </w:r>
          </w:p>
        </w:tc>
        <w:tc>
          <w:tcPr>
            <w:tcW w:w="1255" w:type="dxa"/>
            <w:tcBorders>
              <w:top w:val="single" w:color="auto" w:sz="4" w:space="0"/>
              <w:left w:val="single" w:color="auto" w:sz="4" w:space="0"/>
              <w:bottom w:val="single" w:color="auto" w:sz="4" w:space="0"/>
              <w:right w:val="single" w:color="auto" w:sz="4" w:space="0"/>
            </w:tcBorders>
            <w:vAlign w:val="center"/>
          </w:tcPr>
          <w:p w14:paraId="4438667E">
            <w:pPr>
              <w:jc w:val="center"/>
              <w:rPr>
                <w:rFonts w:hint="eastAsia"/>
                <w:snapToGrid w:val="0"/>
                <w:sz w:val="24"/>
                <w:szCs w:val="24"/>
              </w:rPr>
            </w:pPr>
            <w:r>
              <w:rPr>
                <w:rFonts w:hint="eastAsia"/>
                <w:bCs/>
                <w:snapToGrid w:val="0"/>
                <w:sz w:val="24"/>
                <w:szCs w:val="24"/>
                <w:lang w:eastAsia="zh-CN"/>
              </w:rPr>
              <w:t>5000</w:t>
            </w:r>
          </w:p>
        </w:tc>
      </w:tr>
      <w:tr w14:paraId="5AB51F4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2" w:hRule="atLeast"/>
        </w:trPr>
        <w:tc>
          <w:tcPr>
            <w:tcW w:w="723" w:type="dxa"/>
            <w:tcBorders>
              <w:top w:val="single" w:color="auto" w:sz="4" w:space="0"/>
              <w:left w:val="single" w:color="auto" w:sz="4" w:space="0"/>
              <w:bottom w:val="single" w:color="auto" w:sz="4" w:space="0"/>
              <w:right w:val="single" w:color="auto" w:sz="4" w:space="0"/>
            </w:tcBorders>
            <w:vAlign w:val="center"/>
          </w:tcPr>
          <w:p w14:paraId="05333289">
            <w:pPr>
              <w:pStyle w:val="24"/>
              <w:ind w:firstLine="4" w:firstLineChars="2"/>
              <w:jc w:val="center"/>
              <w:rPr>
                <w:rFonts w:hint="eastAsia"/>
                <w:snapToGrid w:val="0"/>
                <w:sz w:val="24"/>
                <w:szCs w:val="24"/>
                <w:lang w:eastAsia="zh-CN"/>
              </w:rPr>
            </w:pPr>
          </w:p>
        </w:tc>
        <w:tc>
          <w:tcPr>
            <w:tcW w:w="3495" w:type="dxa"/>
            <w:tcBorders>
              <w:top w:val="single" w:color="auto" w:sz="4" w:space="0"/>
              <w:left w:val="single" w:color="auto" w:sz="4" w:space="0"/>
              <w:bottom w:val="single" w:color="auto" w:sz="4" w:space="0"/>
              <w:right w:val="single" w:color="auto" w:sz="4" w:space="0"/>
            </w:tcBorders>
            <w:vAlign w:val="center"/>
          </w:tcPr>
          <w:p w14:paraId="18266373">
            <w:pPr>
              <w:pStyle w:val="24"/>
              <w:ind w:firstLine="4" w:firstLineChars="2"/>
              <w:jc w:val="center"/>
              <w:rPr>
                <w:rFonts w:hint="eastAsia"/>
                <w:snapToGrid w:val="0"/>
                <w:sz w:val="24"/>
                <w:szCs w:val="24"/>
                <w:lang w:eastAsia="zh-CN"/>
              </w:rPr>
            </w:pPr>
            <w:r>
              <w:rPr>
                <w:rFonts w:hint="eastAsia"/>
                <w:snapToGrid w:val="0"/>
                <w:sz w:val="24"/>
                <w:szCs w:val="24"/>
                <w:lang w:eastAsia="zh-CN"/>
              </w:rPr>
              <w:t>合计</w:t>
            </w:r>
          </w:p>
        </w:tc>
        <w:tc>
          <w:tcPr>
            <w:tcW w:w="1455" w:type="dxa"/>
            <w:tcBorders>
              <w:top w:val="single" w:color="auto" w:sz="4" w:space="0"/>
              <w:left w:val="single" w:color="auto" w:sz="4" w:space="0"/>
              <w:bottom w:val="single" w:color="auto" w:sz="4" w:space="0"/>
              <w:right w:val="single" w:color="auto" w:sz="4" w:space="0"/>
            </w:tcBorders>
            <w:vAlign w:val="center"/>
          </w:tcPr>
          <w:p w14:paraId="13C1F6AA">
            <w:pPr>
              <w:pStyle w:val="24"/>
              <w:ind w:firstLine="4" w:firstLineChars="2"/>
              <w:jc w:val="center"/>
              <w:rPr>
                <w:rFonts w:hint="eastAsia"/>
                <w:snapToGrid w:val="0"/>
                <w:sz w:val="24"/>
                <w:szCs w:val="24"/>
                <w:lang w:eastAsia="zh-CN"/>
              </w:rPr>
            </w:pPr>
            <w:r>
              <w:rPr>
                <w:rFonts w:hint="eastAsia"/>
                <w:snapToGrid w:val="0"/>
                <w:sz w:val="24"/>
                <w:szCs w:val="24"/>
                <w:lang w:eastAsia="zh-CN"/>
              </w:rPr>
              <w:t>85000</w:t>
            </w:r>
          </w:p>
        </w:tc>
        <w:tc>
          <w:tcPr>
            <w:tcW w:w="1594" w:type="dxa"/>
            <w:tcBorders>
              <w:top w:val="single" w:color="auto" w:sz="4" w:space="0"/>
              <w:left w:val="single" w:color="auto" w:sz="4" w:space="0"/>
              <w:bottom w:val="single" w:color="auto" w:sz="4" w:space="0"/>
              <w:right w:val="single" w:color="auto" w:sz="4" w:space="0"/>
            </w:tcBorders>
            <w:vAlign w:val="center"/>
          </w:tcPr>
          <w:p w14:paraId="1320A0F7">
            <w:pPr>
              <w:pStyle w:val="24"/>
              <w:ind w:firstLine="4" w:firstLineChars="2"/>
              <w:jc w:val="center"/>
              <w:rPr>
                <w:rFonts w:hint="eastAsia"/>
                <w:snapToGrid w:val="0"/>
                <w:sz w:val="24"/>
                <w:szCs w:val="24"/>
                <w:lang w:eastAsia="zh-CN"/>
              </w:rPr>
            </w:pPr>
            <w:r>
              <w:rPr>
                <w:rFonts w:hint="eastAsia"/>
                <w:snapToGrid w:val="0"/>
                <w:sz w:val="24"/>
                <w:szCs w:val="24"/>
                <w:lang w:eastAsia="zh-CN"/>
              </w:rPr>
              <w:t>-</w:t>
            </w:r>
          </w:p>
        </w:tc>
        <w:tc>
          <w:tcPr>
            <w:tcW w:w="1255" w:type="dxa"/>
            <w:tcBorders>
              <w:top w:val="single" w:color="auto" w:sz="4" w:space="0"/>
              <w:left w:val="single" w:color="auto" w:sz="4" w:space="0"/>
              <w:bottom w:val="single" w:color="auto" w:sz="4" w:space="0"/>
              <w:right w:val="single" w:color="auto" w:sz="4" w:space="0"/>
            </w:tcBorders>
            <w:vAlign w:val="center"/>
          </w:tcPr>
          <w:p w14:paraId="65CBE8F6">
            <w:pPr>
              <w:pStyle w:val="24"/>
              <w:ind w:firstLine="4" w:firstLineChars="2"/>
              <w:jc w:val="center"/>
              <w:rPr>
                <w:rFonts w:hint="eastAsia"/>
                <w:snapToGrid w:val="0"/>
                <w:sz w:val="24"/>
                <w:szCs w:val="24"/>
              </w:rPr>
            </w:pPr>
            <w:r>
              <w:rPr>
                <w:rFonts w:hint="eastAsia"/>
                <w:snapToGrid w:val="0"/>
                <w:sz w:val="24"/>
                <w:szCs w:val="24"/>
                <w:lang w:eastAsia="zh-CN"/>
              </w:rPr>
              <w:t>85000</w:t>
            </w:r>
          </w:p>
        </w:tc>
      </w:tr>
    </w:tbl>
    <w:p w14:paraId="72FB2EB1">
      <w:pPr>
        <w:pStyle w:val="6"/>
        <w:spacing w:line="360" w:lineRule="auto"/>
        <w:rPr>
          <w:rFonts w:hint="eastAsia"/>
          <w:snapToGrid w:val="0"/>
          <w:lang w:eastAsia="zh-CN"/>
        </w:rPr>
      </w:pPr>
    </w:p>
    <w:p w14:paraId="7D9F17B0">
      <w:pPr>
        <w:pStyle w:val="6"/>
        <w:spacing w:line="360" w:lineRule="auto"/>
        <w:rPr>
          <w:rFonts w:hint="eastAsia"/>
          <w:lang w:eastAsia="zh-CN"/>
        </w:rPr>
        <w:sectPr>
          <w:pgSz w:w="11906" w:h="16838"/>
          <w:pgMar w:top="1440" w:right="1800" w:bottom="1440" w:left="1800" w:header="851" w:footer="992" w:gutter="0"/>
          <w:cols w:space="425" w:num="1"/>
          <w:docGrid w:type="lines" w:linePitch="312" w:charSpace="0"/>
        </w:sectPr>
      </w:pPr>
    </w:p>
    <w:p w14:paraId="5B5CB67E">
      <w:pPr>
        <w:snapToGrid w:val="0"/>
        <w:spacing w:line="360" w:lineRule="auto"/>
        <w:rPr>
          <w:rFonts w:hint="eastAsia"/>
          <w:sz w:val="24"/>
          <w:szCs w:val="24"/>
          <w:lang w:eastAsia="zh-CN"/>
        </w:rPr>
      </w:pPr>
      <w:r>
        <w:rPr>
          <w:rFonts w:hint="eastAsia"/>
          <w:sz w:val="24"/>
          <w:szCs w:val="24"/>
          <w:lang w:eastAsia="zh-CN"/>
        </w:rPr>
        <w:t>附件3</w:t>
      </w:r>
    </w:p>
    <w:p w14:paraId="0ED1EDD9">
      <w:pPr>
        <w:pStyle w:val="6"/>
        <w:tabs>
          <w:tab w:val="left" w:pos="3341"/>
          <w:tab w:val="left" w:pos="6341"/>
        </w:tabs>
        <w:spacing w:before="105" w:line="360" w:lineRule="auto"/>
        <w:ind w:left="341"/>
        <w:jc w:val="center"/>
        <w:rPr>
          <w:rFonts w:hint="eastAsia"/>
          <w:bCs/>
          <w:snapToGrid w:val="0"/>
          <w:lang w:eastAsia="zh-CN"/>
        </w:rPr>
      </w:pPr>
      <w:r>
        <w:rPr>
          <w:rFonts w:hint="eastAsia"/>
          <w:bCs/>
          <w:snapToGrid w:val="0"/>
          <w:lang w:eastAsia="zh-CN"/>
        </w:rPr>
        <w:t>拟投入本项目团队人员情况</w:t>
      </w:r>
    </w:p>
    <w:tbl>
      <w:tblPr>
        <w:tblStyle w:val="13"/>
        <w:tblW w:w="7820" w:type="dxa"/>
        <w:tblInd w:w="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972"/>
        <w:gridCol w:w="463"/>
        <w:gridCol w:w="2220"/>
        <w:gridCol w:w="917"/>
        <w:gridCol w:w="1918"/>
      </w:tblGrid>
      <w:tr w14:paraId="7156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330" w:type="dxa"/>
            <w:tcBorders>
              <w:top w:val="single" w:color="auto" w:sz="12" w:space="0"/>
              <w:left w:val="single" w:color="auto" w:sz="12" w:space="0"/>
            </w:tcBorders>
            <w:vAlign w:val="center"/>
          </w:tcPr>
          <w:p w14:paraId="269E4ACA">
            <w:pPr>
              <w:spacing w:line="360" w:lineRule="auto"/>
              <w:jc w:val="center"/>
              <w:rPr>
                <w:rFonts w:hint="eastAsia"/>
                <w:snapToGrid w:val="0"/>
                <w:color w:val="000000"/>
                <w:szCs w:val="21"/>
                <w:lang w:eastAsia="zh-CN"/>
              </w:rPr>
            </w:pPr>
            <w:r>
              <w:rPr>
                <w:rFonts w:hint="eastAsia"/>
                <w:snapToGrid w:val="0"/>
                <w:color w:val="000000"/>
                <w:szCs w:val="21"/>
                <w:lang w:eastAsia="zh-CN"/>
              </w:rPr>
              <w:t>岗位</w:t>
            </w:r>
          </w:p>
        </w:tc>
        <w:tc>
          <w:tcPr>
            <w:tcW w:w="972" w:type="dxa"/>
            <w:tcBorders>
              <w:top w:val="single" w:color="auto" w:sz="12" w:space="0"/>
            </w:tcBorders>
            <w:vAlign w:val="center"/>
          </w:tcPr>
          <w:p w14:paraId="21A800A0">
            <w:pPr>
              <w:spacing w:line="360" w:lineRule="auto"/>
              <w:jc w:val="center"/>
              <w:rPr>
                <w:rFonts w:hint="eastAsia"/>
                <w:snapToGrid w:val="0"/>
                <w:color w:val="000000"/>
                <w:szCs w:val="21"/>
                <w:lang w:eastAsia="zh-CN"/>
              </w:rPr>
            </w:pPr>
            <w:r>
              <w:rPr>
                <w:rFonts w:hint="eastAsia"/>
                <w:snapToGrid w:val="0"/>
                <w:color w:val="000000"/>
                <w:szCs w:val="21"/>
                <w:lang w:eastAsia="zh-CN"/>
              </w:rPr>
              <w:t>姓名</w:t>
            </w:r>
          </w:p>
        </w:tc>
        <w:tc>
          <w:tcPr>
            <w:tcW w:w="463" w:type="dxa"/>
            <w:tcBorders>
              <w:top w:val="single" w:color="auto" w:sz="12" w:space="0"/>
            </w:tcBorders>
            <w:vAlign w:val="center"/>
          </w:tcPr>
          <w:p w14:paraId="452CBA6A">
            <w:pPr>
              <w:spacing w:line="360" w:lineRule="auto"/>
              <w:jc w:val="center"/>
              <w:rPr>
                <w:rFonts w:hint="eastAsia"/>
                <w:snapToGrid w:val="0"/>
                <w:color w:val="000000"/>
                <w:szCs w:val="21"/>
                <w:lang w:eastAsia="zh-CN"/>
              </w:rPr>
            </w:pPr>
            <w:r>
              <w:rPr>
                <w:rFonts w:hint="eastAsia"/>
                <w:snapToGrid w:val="0"/>
                <w:color w:val="000000"/>
                <w:szCs w:val="21"/>
                <w:lang w:eastAsia="zh-CN"/>
              </w:rPr>
              <w:t>性别</w:t>
            </w:r>
          </w:p>
        </w:tc>
        <w:tc>
          <w:tcPr>
            <w:tcW w:w="2220" w:type="dxa"/>
            <w:tcBorders>
              <w:top w:val="single" w:color="auto" w:sz="12" w:space="0"/>
            </w:tcBorders>
            <w:vAlign w:val="center"/>
          </w:tcPr>
          <w:p w14:paraId="5FF84880">
            <w:pPr>
              <w:spacing w:line="360" w:lineRule="auto"/>
              <w:jc w:val="center"/>
              <w:rPr>
                <w:rFonts w:hint="eastAsia"/>
                <w:snapToGrid w:val="0"/>
                <w:color w:val="000000"/>
                <w:szCs w:val="21"/>
                <w:lang w:eastAsia="zh-CN"/>
              </w:rPr>
            </w:pPr>
            <w:r>
              <w:rPr>
                <w:rFonts w:hint="eastAsia"/>
                <w:snapToGrid w:val="0"/>
                <w:color w:val="000000"/>
                <w:szCs w:val="21"/>
                <w:lang w:eastAsia="zh-CN"/>
              </w:rPr>
              <w:t>身份证号码</w:t>
            </w:r>
          </w:p>
        </w:tc>
        <w:tc>
          <w:tcPr>
            <w:tcW w:w="917" w:type="dxa"/>
            <w:tcBorders>
              <w:top w:val="single" w:color="auto" w:sz="12" w:space="0"/>
            </w:tcBorders>
            <w:vAlign w:val="center"/>
          </w:tcPr>
          <w:p w14:paraId="53024817">
            <w:pPr>
              <w:spacing w:line="360" w:lineRule="auto"/>
              <w:jc w:val="center"/>
              <w:rPr>
                <w:rFonts w:hint="eastAsia"/>
                <w:snapToGrid w:val="0"/>
                <w:color w:val="000000"/>
                <w:szCs w:val="21"/>
                <w:lang w:eastAsia="zh-CN"/>
              </w:rPr>
            </w:pPr>
            <w:r>
              <w:rPr>
                <w:rFonts w:hint="eastAsia"/>
                <w:snapToGrid w:val="0"/>
                <w:color w:val="000000"/>
                <w:szCs w:val="21"/>
                <w:lang w:eastAsia="zh-CN"/>
              </w:rPr>
              <w:t>专业技术职称</w:t>
            </w:r>
          </w:p>
        </w:tc>
        <w:tc>
          <w:tcPr>
            <w:tcW w:w="1918" w:type="dxa"/>
            <w:tcBorders>
              <w:top w:val="single" w:color="auto" w:sz="12" w:space="0"/>
              <w:right w:val="single" w:color="auto" w:sz="12" w:space="0"/>
            </w:tcBorders>
            <w:vAlign w:val="center"/>
          </w:tcPr>
          <w:p w14:paraId="19948249">
            <w:pPr>
              <w:spacing w:line="360" w:lineRule="auto"/>
              <w:jc w:val="center"/>
              <w:rPr>
                <w:rFonts w:hint="eastAsia"/>
                <w:snapToGrid w:val="0"/>
                <w:color w:val="000000"/>
                <w:szCs w:val="21"/>
                <w:lang w:eastAsia="zh-CN"/>
              </w:rPr>
            </w:pPr>
            <w:r>
              <w:rPr>
                <w:rFonts w:hint="eastAsia"/>
                <w:snapToGrid w:val="0"/>
                <w:color w:val="000000"/>
                <w:szCs w:val="21"/>
                <w:lang w:eastAsia="zh-CN"/>
              </w:rPr>
              <w:t>职业/执业证书及编号</w:t>
            </w:r>
          </w:p>
        </w:tc>
      </w:tr>
      <w:tr w14:paraId="6673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330" w:type="dxa"/>
            <w:tcBorders>
              <w:left w:val="single" w:color="auto" w:sz="12" w:space="0"/>
            </w:tcBorders>
            <w:vAlign w:val="center"/>
          </w:tcPr>
          <w:p w14:paraId="2C307594">
            <w:pPr>
              <w:spacing w:line="360" w:lineRule="auto"/>
              <w:jc w:val="center"/>
              <w:rPr>
                <w:rFonts w:hint="eastAsia"/>
                <w:snapToGrid w:val="0"/>
                <w:color w:val="000000"/>
                <w:szCs w:val="21"/>
                <w:lang w:eastAsia="zh-CN"/>
              </w:rPr>
            </w:pPr>
            <w:r>
              <w:rPr>
                <w:rFonts w:hint="eastAsia"/>
                <w:snapToGrid w:val="0"/>
                <w:color w:val="000000"/>
                <w:szCs w:val="21"/>
                <w:lang w:eastAsia="zh-CN"/>
              </w:rPr>
              <w:t>项目负责人</w:t>
            </w:r>
          </w:p>
        </w:tc>
        <w:tc>
          <w:tcPr>
            <w:tcW w:w="972" w:type="dxa"/>
            <w:vAlign w:val="center"/>
          </w:tcPr>
          <w:p w14:paraId="5A1B76C5">
            <w:pPr>
              <w:spacing w:line="360" w:lineRule="auto"/>
              <w:jc w:val="center"/>
              <w:rPr>
                <w:rFonts w:hint="eastAsia"/>
                <w:snapToGrid w:val="0"/>
                <w:color w:val="000000"/>
                <w:szCs w:val="21"/>
                <w:lang w:eastAsia="zh-CN"/>
              </w:rPr>
            </w:pPr>
            <w:r>
              <w:rPr>
                <w:rFonts w:hint="eastAsia"/>
                <w:snapToGrid w:val="0"/>
                <w:color w:val="000000"/>
                <w:szCs w:val="21"/>
                <w:lang w:eastAsia="zh-CN"/>
              </w:rPr>
              <w:t>叶凌</w:t>
            </w:r>
          </w:p>
        </w:tc>
        <w:tc>
          <w:tcPr>
            <w:tcW w:w="463" w:type="dxa"/>
            <w:vAlign w:val="center"/>
          </w:tcPr>
          <w:p w14:paraId="6AA852C2">
            <w:pPr>
              <w:spacing w:line="360" w:lineRule="auto"/>
              <w:jc w:val="center"/>
              <w:rPr>
                <w:rFonts w:hint="eastAsia"/>
                <w:snapToGrid w:val="0"/>
                <w:color w:val="000000"/>
                <w:szCs w:val="21"/>
                <w:lang w:eastAsia="zh-CN"/>
              </w:rPr>
            </w:pPr>
            <w:r>
              <w:rPr>
                <w:rFonts w:hint="eastAsia"/>
                <w:snapToGrid w:val="0"/>
                <w:color w:val="000000"/>
                <w:szCs w:val="21"/>
                <w:lang w:eastAsia="zh-CN"/>
              </w:rPr>
              <w:t>女</w:t>
            </w:r>
          </w:p>
        </w:tc>
        <w:tc>
          <w:tcPr>
            <w:tcW w:w="2220" w:type="dxa"/>
            <w:vAlign w:val="center"/>
          </w:tcPr>
          <w:p w14:paraId="567BCB98">
            <w:pPr>
              <w:spacing w:line="360" w:lineRule="auto"/>
              <w:jc w:val="center"/>
              <w:rPr>
                <w:rFonts w:hint="eastAsia"/>
                <w:snapToGrid w:val="0"/>
                <w:color w:val="000000"/>
                <w:szCs w:val="21"/>
                <w:lang w:eastAsia="zh-CN"/>
              </w:rPr>
            </w:pPr>
            <w:r>
              <w:rPr>
                <w:rFonts w:hint="eastAsia"/>
                <w:snapToGrid w:val="0"/>
                <w:color w:val="000000"/>
                <w:szCs w:val="21"/>
                <w:lang w:eastAsia="zh-CN"/>
              </w:rPr>
              <w:t>110105197008027748</w:t>
            </w:r>
          </w:p>
        </w:tc>
        <w:tc>
          <w:tcPr>
            <w:tcW w:w="917" w:type="dxa"/>
            <w:vAlign w:val="center"/>
          </w:tcPr>
          <w:p w14:paraId="663E6E5E">
            <w:pPr>
              <w:spacing w:line="360" w:lineRule="auto"/>
              <w:jc w:val="center"/>
              <w:rPr>
                <w:rFonts w:hint="eastAsia"/>
                <w:snapToGrid w:val="0"/>
                <w:color w:val="000000"/>
                <w:szCs w:val="21"/>
                <w:lang w:eastAsia="zh-CN"/>
              </w:rPr>
            </w:pPr>
            <w:r>
              <w:rPr>
                <w:rFonts w:hint="eastAsia"/>
                <w:snapToGrid w:val="0"/>
                <w:color w:val="000000"/>
                <w:szCs w:val="21"/>
                <w:lang w:eastAsia="zh-CN"/>
              </w:rPr>
              <w:t>高级</w:t>
            </w:r>
          </w:p>
        </w:tc>
        <w:tc>
          <w:tcPr>
            <w:tcW w:w="1918" w:type="dxa"/>
            <w:tcBorders>
              <w:right w:val="single" w:color="auto" w:sz="12" w:space="0"/>
            </w:tcBorders>
            <w:vAlign w:val="center"/>
          </w:tcPr>
          <w:p w14:paraId="041CF86C">
            <w:pPr>
              <w:spacing w:line="360" w:lineRule="auto"/>
              <w:jc w:val="center"/>
              <w:rPr>
                <w:rFonts w:hint="eastAsia"/>
                <w:snapToGrid w:val="0"/>
                <w:color w:val="000000"/>
                <w:szCs w:val="21"/>
                <w:lang w:eastAsia="zh-CN"/>
              </w:rPr>
            </w:pPr>
            <w:r>
              <w:rPr>
                <w:rFonts w:hint="eastAsia"/>
                <w:snapToGrid w:val="0"/>
                <w:color w:val="000000"/>
                <w:szCs w:val="21"/>
                <w:lang w:eastAsia="zh-CN"/>
              </w:rPr>
              <w:t>房地产估价师/1119970111</w:t>
            </w:r>
          </w:p>
        </w:tc>
      </w:tr>
      <w:tr w14:paraId="677E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330" w:type="dxa"/>
            <w:tcBorders>
              <w:left w:val="single" w:color="auto" w:sz="12" w:space="0"/>
            </w:tcBorders>
            <w:vAlign w:val="center"/>
          </w:tcPr>
          <w:p w14:paraId="66BDAA9F">
            <w:pPr>
              <w:spacing w:line="360" w:lineRule="auto"/>
              <w:jc w:val="center"/>
              <w:rPr>
                <w:rFonts w:hint="eastAsia"/>
                <w:snapToGrid w:val="0"/>
                <w:color w:val="000000"/>
                <w:szCs w:val="21"/>
                <w:lang w:eastAsia="zh-CN"/>
              </w:rPr>
            </w:pPr>
            <w:r>
              <w:rPr>
                <w:rFonts w:hint="eastAsia"/>
                <w:snapToGrid w:val="0"/>
                <w:color w:val="000000"/>
                <w:szCs w:val="21"/>
                <w:lang w:eastAsia="zh-CN"/>
              </w:rPr>
              <w:t>主要参与人</w:t>
            </w:r>
          </w:p>
        </w:tc>
        <w:tc>
          <w:tcPr>
            <w:tcW w:w="972" w:type="dxa"/>
            <w:vAlign w:val="center"/>
          </w:tcPr>
          <w:p w14:paraId="1547736D">
            <w:pPr>
              <w:spacing w:line="360" w:lineRule="auto"/>
              <w:jc w:val="center"/>
              <w:rPr>
                <w:rFonts w:hint="eastAsia"/>
                <w:snapToGrid w:val="0"/>
                <w:color w:val="000000"/>
                <w:szCs w:val="21"/>
                <w:lang w:eastAsia="zh-CN"/>
              </w:rPr>
            </w:pPr>
            <w:r>
              <w:rPr>
                <w:rFonts w:hint="eastAsia"/>
                <w:snapToGrid w:val="0"/>
                <w:color w:val="000000"/>
                <w:szCs w:val="21"/>
                <w:lang w:eastAsia="zh-CN"/>
              </w:rPr>
              <w:t>梁津</w:t>
            </w:r>
          </w:p>
        </w:tc>
        <w:tc>
          <w:tcPr>
            <w:tcW w:w="463" w:type="dxa"/>
            <w:vAlign w:val="center"/>
          </w:tcPr>
          <w:p w14:paraId="7123D205">
            <w:pPr>
              <w:spacing w:line="360" w:lineRule="auto"/>
              <w:jc w:val="center"/>
              <w:rPr>
                <w:rFonts w:hint="eastAsia"/>
                <w:snapToGrid w:val="0"/>
                <w:color w:val="000000"/>
                <w:szCs w:val="21"/>
                <w:lang w:eastAsia="zh-CN"/>
              </w:rPr>
            </w:pPr>
            <w:r>
              <w:rPr>
                <w:rFonts w:hint="eastAsia"/>
                <w:snapToGrid w:val="0"/>
                <w:color w:val="000000"/>
                <w:szCs w:val="21"/>
                <w:lang w:eastAsia="zh-CN"/>
              </w:rPr>
              <w:t>男</w:t>
            </w:r>
          </w:p>
        </w:tc>
        <w:tc>
          <w:tcPr>
            <w:tcW w:w="2220" w:type="dxa"/>
            <w:vAlign w:val="center"/>
          </w:tcPr>
          <w:p w14:paraId="063CF737">
            <w:pPr>
              <w:spacing w:line="360" w:lineRule="auto"/>
              <w:jc w:val="center"/>
              <w:rPr>
                <w:rFonts w:hint="eastAsia"/>
                <w:snapToGrid w:val="0"/>
                <w:color w:val="000000"/>
                <w:szCs w:val="21"/>
                <w:lang w:eastAsia="zh-CN"/>
              </w:rPr>
            </w:pPr>
            <w:r>
              <w:rPr>
                <w:rFonts w:hint="eastAsia"/>
                <w:snapToGrid w:val="0"/>
                <w:color w:val="000000"/>
                <w:szCs w:val="21"/>
                <w:lang w:eastAsia="zh-CN"/>
              </w:rPr>
              <w:t>110108196905299318</w:t>
            </w:r>
          </w:p>
        </w:tc>
        <w:tc>
          <w:tcPr>
            <w:tcW w:w="917" w:type="dxa"/>
            <w:vAlign w:val="center"/>
          </w:tcPr>
          <w:p w14:paraId="6BE4B3F2">
            <w:pPr>
              <w:spacing w:line="360" w:lineRule="auto"/>
              <w:jc w:val="center"/>
              <w:rPr>
                <w:rFonts w:hint="eastAsia"/>
                <w:snapToGrid w:val="0"/>
                <w:color w:val="000000"/>
                <w:szCs w:val="21"/>
                <w:lang w:eastAsia="zh-CN"/>
              </w:rPr>
            </w:pPr>
            <w:r>
              <w:rPr>
                <w:rFonts w:hint="eastAsia"/>
                <w:snapToGrid w:val="0"/>
                <w:color w:val="000000"/>
                <w:szCs w:val="21"/>
                <w:lang w:eastAsia="zh-CN"/>
              </w:rPr>
              <w:t>高级</w:t>
            </w:r>
          </w:p>
        </w:tc>
        <w:tc>
          <w:tcPr>
            <w:tcW w:w="1918" w:type="dxa"/>
            <w:tcBorders>
              <w:right w:val="single" w:color="auto" w:sz="12" w:space="0"/>
            </w:tcBorders>
            <w:vAlign w:val="center"/>
          </w:tcPr>
          <w:p w14:paraId="3FD8493E">
            <w:pPr>
              <w:spacing w:line="360" w:lineRule="auto"/>
              <w:jc w:val="center"/>
              <w:rPr>
                <w:rFonts w:hint="eastAsia"/>
                <w:snapToGrid w:val="0"/>
                <w:color w:val="000000"/>
                <w:szCs w:val="21"/>
                <w:lang w:eastAsia="zh-CN"/>
              </w:rPr>
            </w:pPr>
            <w:r>
              <w:rPr>
                <w:rFonts w:hint="eastAsia"/>
                <w:snapToGrid w:val="0"/>
                <w:color w:val="000000"/>
                <w:szCs w:val="21"/>
                <w:lang w:eastAsia="zh-CN"/>
              </w:rPr>
              <w:t>房地产估价师/1119970066</w:t>
            </w:r>
          </w:p>
        </w:tc>
      </w:tr>
      <w:tr w14:paraId="00C4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330" w:type="dxa"/>
            <w:tcBorders>
              <w:left w:val="single" w:color="auto" w:sz="12" w:space="0"/>
            </w:tcBorders>
            <w:vAlign w:val="center"/>
          </w:tcPr>
          <w:p w14:paraId="02A415E8">
            <w:pPr>
              <w:spacing w:line="360" w:lineRule="auto"/>
              <w:jc w:val="center"/>
              <w:rPr>
                <w:rFonts w:hint="eastAsia"/>
                <w:snapToGrid w:val="0"/>
                <w:color w:val="000000"/>
                <w:szCs w:val="21"/>
                <w:lang w:eastAsia="zh-CN"/>
              </w:rPr>
            </w:pPr>
            <w:r>
              <w:rPr>
                <w:rFonts w:hint="eastAsia"/>
                <w:snapToGrid w:val="0"/>
                <w:color w:val="000000"/>
                <w:szCs w:val="21"/>
                <w:lang w:eastAsia="zh-CN"/>
              </w:rPr>
              <w:t>主要参与人</w:t>
            </w:r>
          </w:p>
        </w:tc>
        <w:tc>
          <w:tcPr>
            <w:tcW w:w="972" w:type="dxa"/>
            <w:vAlign w:val="center"/>
          </w:tcPr>
          <w:p w14:paraId="6BE921E5">
            <w:pPr>
              <w:spacing w:line="360" w:lineRule="auto"/>
              <w:jc w:val="center"/>
              <w:rPr>
                <w:rFonts w:hint="eastAsia"/>
                <w:snapToGrid w:val="0"/>
                <w:color w:val="000000"/>
                <w:szCs w:val="21"/>
                <w:lang w:eastAsia="zh-CN"/>
              </w:rPr>
            </w:pPr>
            <w:r>
              <w:rPr>
                <w:rFonts w:hint="eastAsia"/>
                <w:snapToGrid w:val="0"/>
                <w:color w:val="000000"/>
                <w:szCs w:val="21"/>
                <w:lang w:eastAsia="zh-CN"/>
              </w:rPr>
              <w:t>崔锴</w:t>
            </w:r>
          </w:p>
        </w:tc>
        <w:tc>
          <w:tcPr>
            <w:tcW w:w="463" w:type="dxa"/>
            <w:vAlign w:val="center"/>
          </w:tcPr>
          <w:p w14:paraId="69C64C5F">
            <w:pPr>
              <w:spacing w:line="360" w:lineRule="auto"/>
              <w:jc w:val="center"/>
              <w:rPr>
                <w:rFonts w:hint="eastAsia"/>
                <w:snapToGrid w:val="0"/>
                <w:color w:val="000000"/>
                <w:szCs w:val="21"/>
                <w:lang w:eastAsia="zh-CN"/>
              </w:rPr>
            </w:pPr>
            <w:r>
              <w:rPr>
                <w:rFonts w:hint="eastAsia"/>
                <w:snapToGrid w:val="0"/>
                <w:color w:val="000000"/>
                <w:szCs w:val="21"/>
                <w:lang w:eastAsia="zh-CN"/>
              </w:rPr>
              <w:t>女</w:t>
            </w:r>
          </w:p>
        </w:tc>
        <w:tc>
          <w:tcPr>
            <w:tcW w:w="2220" w:type="dxa"/>
            <w:vAlign w:val="center"/>
          </w:tcPr>
          <w:p w14:paraId="776CC4EE">
            <w:pPr>
              <w:spacing w:line="360" w:lineRule="auto"/>
              <w:jc w:val="center"/>
              <w:rPr>
                <w:rFonts w:hint="eastAsia"/>
                <w:snapToGrid w:val="0"/>
                <w:color w:val="000000"/>
                <w:szCs w:val="21"/>
                <w:lang w:eastAsia="zh-CN"/>
              </w:rPr>
            </w:pPr>
            <w:r>
              <w:rPr>
                <w:rFonts w:hint="eastAsia"/>
                <w:snapToGrid w:val="0"/>
                <w:color w:val="000000"/>
                <w:szCs w:val="21"/>
                <w:lang w:eastAsia="zh-CN"/>
              </w:rPr>
              <w:t>110101198009154545</w:t>
            </w:r>
          </w:p>
        </w:tc>
        <w:tc>
          <w:tcPr>
            <w:tcW w:w="917" w:type="dxa"/>
            <w:vAlign w:val="center"/>
          </w:tcPr>
          <w:p w14:paraId="22CBD84C">
            <w:pPr>
              <w:spacing w:line="360" w:lineRule="auto"/>
              <w:jc w:val="center"/>
              <w:rPr>
                <w:rFonts w:hint="eastAsia"/>
                <w:snapToGrid w:val="0"/>
                <w:color w:val="000000"/>
                <w:szCs w:val="21"/>
                <w:lang w:eastAsia="zh-CN"/>
              </w:rPr>
            </w:pPr>
            <w:r>
              <w:rPr>
                <w:rFonts w:hint="eastAsia"/>
                <w:snapToGrid w:val="0"/>
                <w:color w:val="000000"/>
                <w:szCs w:val="21"/>
                <w:lang w:eastAsia="zh-CN"/>
              </w:rPr>
              <w:t>中级</w:t>
            </w:r>
          </w:p>
        </w:tc>
        <w:tc>
          <w:tcPr>
            <w:tcW w:w="1918" w:type="dxa"/>
            <w:tcBorders>
              <w:right w:val="single" w:color="auto" w:sz="12" w:space="0"/>
            </w:tcBorders>
            <w:vAlign w:val="center"/>
          </w:tcPr>
          <w:p w14:paraId="01359C94">
            <w:pPr>
              <w:spacing w:line="360" w:lineRule="auto"/>
              <w:jc w:val="center"/>
              <w:rPr>
                <w:rFonts w:hint="eastAsia"/>
                <w:snapToGrid w:val="0"/>
                <w:color w:val="000000"/>
                <w:szCs w:val="21"/>
                <w:lang w:eastAsia="zh-CN"/>
              </w:rPr>
            </w:pPr>
            <w:r>
              <w:rPr>
                <w:rFonts w:hint="eastAsia"/>
                <w:snapToGrid w:val="0"/>
                <w:color w:val="000000"/>
                <w:szCs w:val="21"/>
                <w:lang w:eastAsia="zh-CN"/>
              </w:rPr>
              <w:t>房地产估价师/1120100036</w:t>
            </w:r>
          </w:p>
        </w:tc>
      </w:tr>
      <w:tr w14:paraId="7591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330" w:type="dxa"/>
            <w:tcBorders>
              <w:left w:val="single" w:color="auto" w:sz="12" w:space="0"/>
            </w:tcBorders>
            <w:vAlign w:val="center"/>
          </w:tcPr>
          <w:p w14:paraId="0C719779">
            <w:pPr>
              <w:spacing w:line="360" w:lineRule="auto"/>
              <w:jc w:val="center"/>
              <w:rPr>
                <w:rFonts w:hint="eastAsia"/>
                <w:snapToGrid w:val="0"/>
                <w:color w:val="000000"/>
                <w:szCs w:val="21"/>
                <w:lang w:eastAsia="zh-CN"/>
              </w:rPr>
            </w:pPr>
            <w:r>
              <w:rPr>
                <w:rFonts w:hint="eastAsia"/>
                <w:snapToGrid w:val="0"/>
                <w:color w:val="000000"/>
                <w:szCs w:val="21"/>
                <w:lang w:eastAsia="zh-CN"/>
              </w:rPr>
              <w:t>主要参与人</w:t>
            </w:r>
          </w:p>
        </w:tc>
        <w:tc>
          <w:tcPr>
            <w:tcW w:w="972" w:type="dxa"/>
            <w:vAlign w:val="center"/>
          </w:tcPr>
          <w:p w14:paraId="7CCCA706">
            <w:pPr>
              <w:spacing w:line="360" w:lineRule="auto"/>
              <w:jc w:val="center"/>
              <w:rPr>
                <w:rFonts w:hint="eastAsia"/>
                <w:snapToGrid w:val="0"/>
                <w:color w:val="000000"/>
                <w:szCs w:val="21"/>
                <w:lang w:eastAsia="zh-CN"/>
              </w:rPr>
            </w:pPr>
            <w:r>
              <w:rPr>
                <w:rFonts w:hint="eastAsia"/>
                <w:snapToGrid w:val="0"/>
                <w:color w:val="000000"/>
                <w:szCs w:val="21"/>
                <w:lang w:eastAsia="zh-CN"/>
              </w:rPr>
              <w:t>郑燚</w:t>
            </w:r>
          </w:p>
        </w:tc>
        <w:tc>
          <w:tcPr>
            <w:tcW w:w="463" w:type="dxa"/>
            <w:vAlign w:val="center"/>
          </w:tcPr>
          <w:p w14:paraId="52308D3B">
            <w:pPr>
              <w:spacing w:line="360" w:lineRule="auto"/>
              <w:jc w:val="center"/>
              <w:rPr>
                <w:rFonts w:hint="eastAsia"/>
                <w:snapToGrid w:val="0"/>
                <w:color w:val="000000"/>
                <w:szCs w:val="21"/>
                <w:lang w:eastAsia="zh-CN"/>
              </w:rPr>
            </w:pPr>
            <w:r>
              <w:rPr>
                <w:rFonts w:hint="eastAsia"/>
                <w:snapToGrid w:val="0"/>
                <w:color w:val="000000"/>
                <w:szCs w:val="21"/>
                <w:lang w:eastAsia="zh-CN"/>
              </w:rPr>
              <w:t>男</w:t>
            </w:r>
          </w:p>
        </w:tc>
        <w:tc>
          <w:tcPr>
            <w:tcW w:w="2220" w:type="dxa"/>
            <w:vAlign w:val="center"/>
          </w:tcPr>
          <w:p w14:paraId="2BA70180">
            <w:pPr>
              <w:spacing w:line="360" w:lineRule="auto"/>
              <w:jc w:val="center"/>
              <w:rPr>
                <w:rFonts w:hint="eastAsia"/>
                <w:snapToGrid w:val="0"/>
                <w:color w:val="000000"/>
                <w:szCs w:val="21"/>
                <w:lang w:eastAsia="zh-CN"/>
              </w:rPr>
            </w:pPr>
            <w:r>
              <w:rPr>
                <w:rFonts w:hint="eastAsia"/>
                <w:snapToGrid w:val="0"/>
                <w:color w:val="000000"/>
                <w:szCs w:val="21"/>
                <w:lang w:eastAsia="zh-CN"/>
              </w:rPr>
              <w:t>110103197907281851</w:t>
            </w:r>
          </w:p>
        </w:tc>
        <w:tc>
          <w:tcPr>
            <w:tcW w:w="917" w:type="dxa"/>
            <w:vAlign w:val="center"/>
          </w:tcPr>
          <w:p w14:paraId="40F16903">
            <w:pPr>
              <w:spacing w:line="360" w:lineRule="auto"/>
              <w:jc w:val="center"/>
              <w:rPr>
                <w:rFonts w:hint="eastAsia"/>
                <w:snapToGrid w:val="0"/>
                <w:color w:val="000000"/>
                <w:szCs w:val="21"/>
                <w:lang w:eastAsia="zh-CN"/>
              </w:rPr>
            </w:pPr>
            <w:r>
              <w:rPr>
                <w:rFonts w:hint="eastAsia"/>
                <w:snapToGrid w:val="0"/>
                <w:color w:val="000000"/>
                <w:szCs w:val="21"/>
                <w:lang w:eastAsia="zh-CN"/>
              </w:rPr>
              <w:t>中级</w:t>
            </w:r>
          </w:p>
        </w:tc>
        <w:tc>
          <w:tcPr>
            <w:tcW w:w="1918" w:type="dxa"/>
            <w:tcBorders>
              <w:right w:val="single" w:color="auto" w:sz="12" w:space="0"/>
            </w:tcBorders>
            <w:vAlign w:val="center"/>
          </w:tcPr>
          <w:p w14:paraId="085665F2">
            <w:pPr>
              <w:spacing w:line="360" w:lineRule="auto"/>
              <w:jc w:val="center"/>
              <w:rPr>
                <w:rFonts w:hint="eastAsia"/>
                <w:snapToGrid w:val="0"/>
                <w:color w:val="000000"/>
                <w:szCs w:val="21"/>
                <w:lang w:eastAsia="zh-CN"/>
              </w:rPr>
            </w:pPr>
            <w:r>
              <w:rPr>
                <w:rFonts w:hint="eastAsia"/>
                <w:snapToGrid w:val="0"/>
                <w:color w:val="000000"/>
                <w:szCs w:val="21"/>
                <w:lang w:eastAsia="zh-CN"/>
              </w:rPr>
              <w:t>房地产估价师/1120070131</w:t>
            </w:r>
          </w:p>
        </w:tc>
      </w:tr>
      <w:tr w14:paraId="1F3E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330" w:type="dxa"/>
            <w:tcBorders>
              <w:left w:val="single" w:color="auto" w:sz="12" w:space="0"/>
            </w:tcBorders>
            <w:vAlign w:val="center"/>
          </w:tcPr>
          <w:p w14:paraId="6E60883B">
            <w:pPr>
              <w:spacing w:line="360" w:lineRule="auto"/>
              <w:jc w:val="center"/>
              <w:rPr>
                <w:rFonts w:hint="eastAsia"/>
                <w:snapToGrid w:val="0"/>
                <w:color w:val="000000"/>
                <w:szCs w:val="21"/>
                <w:lang w:eastAsia="zh-CN"/>
              </w:rPr>
            </w:pPr>
            <w:r>
              <w:rPr>
                <w:rFonts w:hint="eastAsia"/>
                <w:snapToGrid w:val="0"/>
                <w:color w:val="000000"/>
                <w:szCs w:val="21"/>
                <w:lang w:eastAsia="zh-CN"/>
              </w:rPr>
              <w:t>主要参与人</w:t>
            </w:r>
          </w:p>
        </w:tc>
        <w:tc>
          <w:tcPr>
            <w:tcW w:w="972" w:type="dxa"/>
            <w:vAlign w:val="center"/>
          </w:tcPr>
          <w:p w14:paraId="085744E2">
            <w:pPr>
              <w:spacing w:line="360" w:lineRule="auto"/>
              <w:jc w:val="center"/>
              <w:rPr>
                <w:rFonts w:hint="eastAsia"/>
                <w:snapToGrid w:val="0"/>
                <w:color w:val="000000"/>
                <w:szCs w:val="21"/>
                <w:lang w:eastAsia="zh-CN"/>
              </w:rPr>
            </w:pPr>
            <w:r>
              <w:rPr>
                <w:rFonts w:hint="eastAsia"/>
                <w:snapToGrid w:val="0"/>
                <w:color w:val="000000"/>
                <w:szCs w:val="21"/>
                <w:lang w:eastAsia="zh-CN"/>
              </w:rPr>
              <w:t>刘朝阳</w:t>
            </w:r>
          </w:p>
        </w:tc>
        <w:tc>
          <w:tcPr>
            <w:tcW w:w="463" w:type="dxa"/>
            <w:vAlign w:val="center"/>
          </w:tcPr>
          <w:p w14:paraId="16FA58E9">
            <w:pPr>
              <w:spacing w:line="360" w:lineRule="auto"/>
              <w:jc w:val="center"/>
              <w:rPr>
                <w:rFonts w:hint="eastAsia"/>
                <w:snapToGrid w:val="0"/>
                <w:color w:val="000000"/>
                <w:szCs w:val="21"/>
                <w:lang w:eastAsia="zh-CN"/>
              </w:rPr>
            </w:pPr>
            <w:r>
              <w:rPr>
                <w:rFonts w:hint="eastAsia"/>
                <w:snapToGrid w:val="0"/>
                <w:color w:val="000000"/>
                <w:szCs w:val="21"/>
                <w:lang w:eastAsia="zh-CN"/>
              </w:rPr>
              <w:t>男</w:t>
            </w:r>
          </w:p>
        </w:tc>
        <w:tc>
          <w:tcPr>
            <w:tcW w:w="2220" w:type="dxa"/>
            <w:vAlign w:val="center"/>
          </w:tcPr>
          <w:p w14:paraId="1D31AF13">
            <w:pPr>
              <w:spacing w:line="360" w:lineRule="auto"/>
              <w:jc w:val="center"/>
              <w:rPr>
                <w:rFonts w:hint="eastAsia"/>
                <w:snapToGrid w:val="0"/>
                <w:color w:val="000000"/>
                <w:szCs w:val="21"/>
                <w:lang w:eastAsia="zh-CN"/>
              </w:rPr>
            </w:pPr>
            <w:r>
              <w:rPr>
                <w:rFonts w:hint="eastAsia"/>
                <w:snapToGrid w:val="0"/>
                <w:color w:val="000000"/>
                <w:szCs w:val="21"/>
                <w:lang w:eastAsia="zh-CN"/>
              </w:rPr>
              <w:t>110108197608190011</w:t>
            </w:r>
          </w:p>
        </w:tc>
        <w:tc>
          <w:tcPr>
            <w:tcW w:w="917" w:type="dxa"/>
            <w:vAlign w:val="center"/>
          </w:tcPr>
          <w:p w14:paraId="161629DF">
            <w:pPr>
              <w:spacing w:line="360" w:lineRule="auto"/>
              <w:jc w:val="center"/>
              <w:rPr>
                <w:rFonts w:hint="eastAsia"/>
                <w:snapToGrid w:val="0"/>
                <w:color w:val="000000"/>
                <w:szCs w:val="21"/>
                <w:lang w:eastAsia="zh-CN"/>
              </w:rPr>
            </w:pPr>
            <w:r>
              <w:rPr>
                <w:rFonts w:hint="eastAsia"/>
                <w:snapToGrid w:val="0"/>
                <w:color w:val="000000"/>
                <w:szCs w:val="21"/>
                <w:lang w:eastAsia="zh-CN"/>
              </w:rPr>
              <w:t>中级</w:t>
            </w:r>
          </w:p>
        </w:tc>
        <w:tc>
          <w:tcPr>
            <w:tcW w:w="1918" w:type="dxa"/>
            <w:tcBorders>
              <w:right w:val="single" w:color="auto" w:sz="12" w:space="0"/>
            </w:tcBorders>
            <w:vAlign w:val="center"/>
          </w:tcPr>
          <w:p w14:paraId="6B510BCD">
            <w:pPr>
              <w:spacing w:line="360" w:lineRule="auto"/>
              <w:jc w:val="center"/>
              <w:rPr>
                <w:rFonts w:hint="eastAsia"/>
                <w:snapToGrid w:val="0"/>
                <w:color w:val="000000"/>
                <w:szCs w:val="21"/>
                <w:lang w:eastAsia="zh-CN"/>
              </w:rPr>
            </w:pPr>
            <w:r>
              <w:rPr>
                <w:rFonts w:hint="eastAsia"/>
                <w:snapToGrid w:val="0"/>
                <w:color w:val="000000"/>
                <w:szCs w:val="21"/>
                <w:lang w:eastAsia="zh-CN"/>
              </w:rPr>
              <w:t>房地产估价师/1120060041</w:t>
            </w:r>
          </w:p>
        </w:tc>
      </w:tr>
      <w:tr w14:paraId="2BC0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330" w:type="dxa"/>
            <w:tcBorders>
              <w:left w:val="single" w:color="auto" w:sz="12" w:space="0"/>
            </w:tcBorders>
            <w:vAlign w:val="center"/>
          </w:tcPr>
          <w:p w14:paraId="43CE7CF5">
            <w:pPr>
              <w:spacing w:line="360" w:lineRule="auto"/>
              <w:jc w:val="center"/>
              <w:rPr>
                <w:rFonts w:hint="eastAsia"/>
                <w:snapToGrid w:val="0"/>
                <w:color w:val="000000"/>
                <w:szCs w:val="21"/>
                <w:lang w:eastAsia="zh-CN"/>
              </w:rPr>
            </w:pPr>
            <w:r>
              <w:rPr>
                <w:rFonts w:hint="eastAsia"/>
                <w:snapToGrid w:val="0"/>
                <w:color w:val="000000"/>
                <w:szCs w:val="21"/>
                <w:lang w:eastAsia="zh-CN"/>
              </w:rPr>
              <w:t>参与人</w:t>
            </w:r>
          </w:p>
        </w:tc>
        <w:tc>
          <w:tcPr>
            <w:tcW w:w="972" w:type="dxa"/>
            <w:vAlign w:val="center"/>
          </w:tcPr>
          <w:p w14:paraId="639C9B6B">
            <w:pPr>
              <w:spacing w:line="360" w:lineRule="auto"/>
              <w:jc w:val="center"/>
              <w:rPr>
                <w:rFonts w:hint="eastAsia"/>
                <w:snapToGrid w:val="0"/>
                <w:color w:val="000000"/>
                <w:szCs w:val="21"/>
              </w:rPr>
            </w:pPr>
            <w:r>
              <w:rPr>
                <w:rFonts w:hint="eastAsia"/>
                <w:snapToGrid w:val="0"/>
                <w:color w:val="000000"/>
                <w:szCs w:val="21"/>
                <w:lang w:eastAsia="zh-CN"/>
              </w:rPr>
              <w:t>许皓源</w:t>
            </w:r>
          </w:p>
        </w:tc>
        <w:tc>
          <w:tcPr>
            <w:tcW w:w="463" w:type="dxa"/>
            <w:vAlign w:val="center"/>
          </w:tcPr>
          <w:p w14:paraId="0A033E9A">
            <w:pPr>
              <w:spacing w:line="360" w:lineRule="auto"/>
              <w:jc w:val="center"/>
              <w:rPr>
                <w:rFonts w:hint="eastAsia"/>
                <w:snapToGrid w:val="0"/>
                <w:color w:val="000000"/>
                <w:szCs w:val="21"/>
                <w:lang w:eastAsia="zh-CN"/>
              </w:rPr>
            </w:pPr>
            <w:r>
              <w:rPr>
                <w:rFonts w:hint="eastAsia"/>
                <w:snapToGrid w:val="0"/>
                <w:color w:val="000000"/>
                <w:szCs w:val="21"/>
                <w:lang w:eastAsia="zh-CN"/>
              </w:rPr>
              <w:t>男</w:t>
            </w:r>
          </w:p>
        </w:tc>
        <w:tc>
          <w:tcPr>
            <w:tcW w:w="2220" w:type="dxa"/>
            <w:vAlign w:val="center"/>
          </w:tcPr>
          <w:p w14:paraId="39854E8C">
            <w:pPr>
              <w:spacing w:line="360" w:lineRule="auto"/>
              <w:jc w:val="center"/>
              <w:rPr>
                <w:rFonts w:hint="eastAsia"/>
                <w:snapToGrid w:val="0"/>
                <w:color w:val="000000"/>
                <w:szCs w:val="21"/>
                <w:lang w:eastAsia="zh-CN"/>
              </w:rPr>
            </w:pPr>
            <w:r>
              <w:rPr>
                <w:rFonts w:hint="eastAsia"/>
                <w:snapToGrid w:val="0"/>
                <w:color w:val="000000"/>
                <w:szCs w:val="21"/>
                <w:lang w:eastAsia="zh-CN"/>
              </w:rPr>
              <w:t>110105197010025434</w:t>
            </w:r>
          </w:p>
        </w:tc>
        <w:tc>
          <w:tcPr>
            <w:tcW w:w="917" w:type="dxa"/>
            <w:vAlign w:val="center"/>
          </w:tcPr>
          <w:p w14:paraId="4A2317F7">
            <w:pPr>
              <w:spacing w:line="360" w:lineRule="auto"/>
              <w:jc w:val="center"/>
              <w:rPr>
                <w:rFonts w:hint="eastAsia"/>
                <w:snapToGrid w:val="0"/>
                <w:color w:val="000000"/>
                <w:szCs w:val="21"/>
                <w:lang w:eastAsia="zh-CN"/>
              </w:rPr>
            </w:pPr>
            <w:r>
              <w:rPr>
                <w:rFonts w:hint="eastAsia"/>
                <w:snapToGrid w:val="0"/>
                <w:color w:val="000000"/>
                <w:szCs w:val="21"/>
                <w:lang w:eastAsia="zh-CN"/>
              </w:rPr>
              <w:t>中级</w:t>
            </w:r>
          </w:p>
        </w:tc>
        <w:tc>
          <w:tcPr>
            <w:tcW w:w="1918" w:type="dxa"/>
            <w:tcBorders>
              <w:right w:val="single" w:color="auto" w:sz="12" w:space="0"/>
            </w:tcBorders>
            <w:vAlign w:val="center"/>
          </w:tcPr>
          <w:p w14:paraId="3F5B4708">
            <w:pPr>
              <w:spacing w:line="360" w:lineRule="auto"/>
              <w:jc w:val="center"/>
              <w:rPr>
                <w:rFonts w:hint="eastAsia"/>
                <w:snapToGrid w:val="0"/>
                <w:color w:val="000000"/>
                <w:szCs w:val="21"/>
                <w:lang w:eastAsia="zh-CN"/>
              </w:rPr>
            </w:pPr>
            <w:r>
              <w:rPr>
                <w:rFonts w:hint="eastAsia"/>
                <w:snapToGrid w:val="0"/>
                <w:color w:val="000000"/>
                <w:szCs w:val="21"/>
                <w:lang w:eastAsia="zh-CN"/>
              </w:rPr>
              <w:t>房地产估价师/1119980019</w:t>
            </w:r>
          </w:p>
        </w:tc>
      </w:tr>
      <w:tr w14:paraId="74EF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330" w:type="dxa"/>
            <w:tcBorders>
              <w:left w:val="single" w:color="auto" w:sz="12" w:space="0"/>
            </w:tcBorders>
            <w:vAlign w:val="center"/>
          </w:tcPr>
          <w:p w14:paraId="1F3B9668">
            <w:pPr>
              <w:spacing w:line="360" w:lineRule="auto"/>
              <w:jc w:val="center"/>
              <w:rPr>
                <w:rFonts w:hint="eastAsia"/>
                <w:snapToGrid w:val="0"/>
                <w:color w:val="000000"/>
                <w:szCs w:val="21"/>
                <w:lang w:eastAsia="zh-CN"/>
              </w:rPr>
            </w:pPr>
            <w:r>
              <w:rPr>
                <w:rFonts w:hint="eastAsia"/>
                <w:snapToGrid w:val="0"/>
                <w:color w:val="000000"/>
                <w:szCs w:val="21"/>
                <w:lang w:eastAsia="zh-CN"/>
              </w:rPr>
              <w:t>参与人</w:t>
            </w:r>
          </w:p>
        </w:tc>
        <w:tc>
          <w:tcPr>
            <w:tcW w:w="972" w:type="dxa"/>
            <w:vAlign w:val="center"/>
          </w:tcPr>
          <w:p w14:paraId="4C05DD96">
            <w:pPr>
              <w:spacing w:line="360" w:lineRule="auto"/>
              <w:jc w:val="center"/>
              <w:rPr>
                <w:rFonts w:hint="eastAsia"/>
                <w:snapToGrid w:val="0"/>
                <w:color w:val="000000"/>
                <w:szCs w:val="21"/>
                <w:lang w:eastAsia="zh-CN"/>
              </w:rPr>
            </w:pPr>
            <w:r>
              <w:rPr>
                <w:rFonts w:hint="eastAsia"/>
                <w:snapToGrid w:val="0"/>
                <w:color w:val="000000"/>
                <w:szCs w:val="21"/>
                <w:lang w:eastAsia="zh-CN"/>
              </w:rPr>
              <w:t>常畅</w:t>
            </w:r>
          </w:p>
        </w:tc>
        <w:tc>
          <w:tcPr>
            <w:tcW w:w="463" w:type="dxa"/>
            <w:vAlign w:val="center"/>
          </w:tcPr>
          <w:p w14:paraId="18129A1D">
            <w:pPr>
              <w:spacing w:line="360" w:lineRule="auto"/>
              <w:jc w:val="center"/>
              <w:rPr>
                <w:rFonts w:hint="eastAsia"/>
                <w:snapToGrid w:val="0"/>
                <w:color w:val="000000"/>
                <w:szCs w:val="21"/>
                <w:lang w:eastAsia="zh-CN"/>
              </w:rPr>
            </w:pPr>
            <w:r>
              <w:rPr>
                <w:rFonts w:hint="eastAsia"/>
                <w:snapToGrid w:val="0"/>
                <w:color w:val="000000"/>
                <w:szCs w:val="21"/>
                <w:lang w:eastAsia="zh-CN"/>
              </w:rPr>
              <w:t>女</w:t>
            </w:r>
          </w:p>
        </w:tc>
        <w:tc>
          <w:tcPr>
            <w:tcW w:w="2220" w:type="dxa"/>
            <w:vAlign w:val="center"/>
          </w:tcPr>
          <w:p w14:paraId="1CAEFD1D">
            <w:pPr>
              <w:spacing w:line="360" w:lineRule="auto"/>
              <w:jc w:val="center"/>
              <w:rPr>
                <w:rFonts w:hint="eastAsia"/>
                <w:snapToGrid w:val="0"/>
                <w:color w:val="000000"/>
                <w:szCs w:val="21"/>
                <w:lang w:eastAsia="zh-CN"/>
              </w:rPr>
            </w:pPr>
            <w:r>
              <w:rPr>
                <w:rFonts w:hint="eastAsia"/>
                <w:snapToGrid w:val="0"/>
                <w:color w:val="000000"/>
                <w:szCs w:val="21"/>
                <w:lang w:eastAsia="zh-CN"/>
              </w:rPr>
              <w:t>110102198903163020</w:t>
            </w:r>
          </w:p>
        </w:tc>
        <w:tc>
          <w:tcPr>
            <w:tcW w:w="917" w:type="dxa"/>
            <w:vAlign w:val="center"/>
          </w:tcPr>
          <w:p w14:paraId="00310C51">
            <w:pPr>
              <w:spacing w:line="360" w:lineRule="auto"/>
              <w:jc w:val="center"/>
              <w:rPr>
                <w:rFonts w:hint="eastAsia"/>
                <w:snapToGrid w:val="0"/>
                <w:color w:val="000000"/>
                <w:szCs w:val="21"/>
                <w:lang w:eastAsia="zh-CN"/>
              </w:rPr>
            </w:pPr>
            <w:r>
              <w:rPr>
                <w:rFonts w:hint="eastAsia"/>
                <w:snapToGrid w:val="0"/>
                <w:color w:val="000000"/>
                <w:szCs w:val="21"/>
                <w:lang w:eastAsia="zh-CN"/>
              </w:rPr>
              <w:t>-</w:t>
            </w:r>
          </w:p>
        </w:tc>
        <w:tc>
          <w:tcPr>
            <w:tcW w:w="1918" w:type="dxa"/>
            <w:tcBorders>
              <w:right w:val="single" w:color="auto" w:sz="12" w:space="0"/>
            </w:tcBorders>
            <w:vAlign w:val="center"/>
          </w:tcPr>
          <w:p w14:paraId="74B23D8A">
            <w:pPr>
              <w:spacing w:line="360" w:lineRule="auto"/>
              <w:jc w:val="center"/>
              <w:rPr>
                <w:rFonts w:hint="eastAsia"/>
                <w:snapToGrid w:val="0"/>
                <w:color w:val="000000"/>
                <w:szCs w:val="21"/>
                <w:lang w:eastAsia="zh-CN"/>
              </w:rPr>
            </w:pPr>
            <w:r>
              <w:rPr>
                <w:rFonts w:hint="eastAsia"/>
                <w:snapToGrid w:val="0"/>
                <w:color w:val="000000"/>
                <w:szCs w:val="21"/>
                <w:lang w:eastAsia="zh-CN"/>
              </w:rPr>
              <w:t>房地产估价师/1120250061</w:t>
            </w:r>
          </w:p>
        </w:tc>
      </w:tr>
      <w:tr w14:paraId="68BB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330" w:type="dxa"/>
            <w:tcBorders>
              <w:left w:val="single" w:color="auto" w:sz="12" w:space="0"/>
            </w:tcBorders>
            <w:vAlign w:val="center"/>
          </w:tcPr>
          <w:p w14:paraId="2DBADA1B">
            <w:pPr>
              <w:spacing w:line="360" w:lineRule="auto"/>
              <w:jc w:val="center"/>
              <w:rPr>
                <w:rFonts w:hint="eastAsia"/>
                <w:snapToGrid w:val="0"/>
                <w:color w:val="000000"/>
                <w:szCs w:val="21"/>
                <w:lang w:eastAsia="zh-CN"/>
              </w:rPr>
            </w:pPr>
            <w:r>
              <w:rPr>
                <w:rFonts w:hint="eastAsia"/>
                <w:snapToGrid w:val="0"/>
                <w:color w:val="000000"/>
                <w:szCs w:val="21"/>
                <w:lang w:eastAsia="zh-CN"/>
              </w:rPr>
              <w:t>参与人</w:t>
            </w:r>
          </w:p>
        </w:tc>
        <w:tc>
          <w:tcPr>
            <w:tcW w:w="972" w:type="dxa"/>
            <w:vAlign w:val="center"/>
          </w:tcPr>
          <w:p w14:paraId="744E1625">
            <w:pPr>
              <w:spacing w:line="360" w:lineRule="auto"/>
              <w:jc w:val="center"/>
              <w:rPr>
                <w:rFonts w:hint="eastAsia"/>
                <w:snapToGrid w:val="0"/>
                <w:color w:val="000000"/>
                <w:szCs w:val="21"/>
              </w:rPr>
            </w:pPr>
            <w:r>
              <w:rPr>
                <w:rFonts w:hint="eastAsia"/>
                <w:snapToGrid w:val="0"/>
                <w:color w:val="000000"/>
                <w:szCs w:val="21"/>
                <w:lang w:eastAsia="zh-CN"/>
              </w:rPr>
              <w:t>黄英</w:t>
            </w:r>
          </w:p>
        </w:tc>
        <w:tc>
          <w:tcPr>
            <w:tcW w:w="463" w:type="dxa"/>
            <w:vAlign w:val="center"/>
          </w:tcPr>
          <w:p w14:paraId="72B48F8F">
            <w:pPr>
              <w:spacing w:line="360" w:lineRule="auto"/>
              <w:jc w:val="center"/>
              <w:rPr>
                <w:rFonts w:hint="eastAsia"/>
                <w:snapToGrid w:val="0"/>
                <w:color w:val="000000"/>
                <w:szCs w:val="21"/>
                <w:lang w:eastAsia="zh-CN"/>
              </w:rPr>
            </w:pPr>
            <w:r>
              <w:rPr>
                <w:rFonts w:hint="eastAsia"/>
                <w:snapToGrid w:val="0"/>
                <w:color w:val="000000"/>
                <w:szCs w:val="21"/>
                <w:lang w:eastAsia="zh-CN"/>
              </w:rPr>
              <w:t>女</w:t>
            </w:r>
          </w:p>
        </w:tc>
        <w:tc>
          <w:tcPr>
            <w:tcW w:w="2220" w:type="dxa"/>
            <w:vAlign w:val="center"/>
          </w:tcPr>
          <w:p w14:paraId="13F4668D">
            <w:pPr>
              <w:spacing w:line="360" w:lineRule="auto"/>
              <w:jc w:val="center"/>
              <w:rPr>
                <w:rFonts w:hint="eastAsia"/>
                <w:snapToGrid w:val="0"/>
                <w:color w:val="000000"/>
                <w:szCs w:val="21"/>
                <w:lang w:eastAsia="zh-CN"/>
              </w:rPr>
            </w:pPr>
            <w:r>
              <w:rPr>
                <w:rFonts w:hint="eastAsia"/>
                <w:snapToGrid w:val="0"/>
                <w:color w:val="000000"/>
                <w:szCs w:val="21"/>
                <w:lang w:eastAsia="zh-CN"/>
              </w:rPr>
              <w:t>61082519930404364X</w:t>
            </w:r>
          </w:p>
        </w:tc>
        <w:tc>
          <w:tcPr>
            <w:tcW w:w="917" w:type="dxa"/>
            <w:vAlign w:val="center"/>
          </w:tcPr>
          <w:p w14:paraId="220EDD9B">
            <w:pPr>
              <w:spacing w:line="360" w:lineRule="auto"/>
              <w:jc w:val="center"/>
              <w:rPr>
                <w:rFonts w:hint="eastAsia"/>
                <w:snapToGrid w:val="0"/>
                <w:color w:val="000000"/>
                <w:szCs w:val="21"/>
                <w:lang w:eastAsia="zh-CN"/>
              </w:rPr>
            </w:pPr>
            <w:r>
              <w:rPr>
                <w:rFonts w:hint="eastAsia"/>
                <w:snapToGrid w:val="0"/>
                <w:color w:val="000000"/>
                <w:szCs w:val="21"/>
                <w:lang w:eastAsia="zh-CN"/>
              </w:rPr>
              <w:t>-</w:t>
            </w:r>
          </w:p>
        </w:tc>
        <w:tc>
          <w:tcPr>
            <w:tcW w:w="1918" w:type="dxa"/>
            <w:tcBorders>
              <w:right w:val="single" w:color="auto" w:sz="12" w:space="0"/>
            </w:tcBorders>
            <w:vAlign w:val="center"/>
          </w:tcPr>
          <w:p w14:paraId="2F58477F">
            <w:pPr>
              <w:spacing w:line="360" w:lineRule="auto"/>
              <w:jc w:val="center"/>
              <w:rPr>
                <w:rFonts w:hint="eastAsia"/>
                <w:snapToGrid w:val="0"/>
                <w:color w:val="000000"/>
                <w:szCs w:val="21"/>
                <w:lang w:eastAsia="zh-CN"/>
              </w:rPr>
            </w:pPr>
            <w:r>
              <w:rPr>
                <w:rFonts w:hint="eastAsia"/>
                <w:snapToGrid w:val="0"/>
                <w:color w:val="000000"/>
                <w:szCs w:val="21"/>
                <w:lang w:eastAsia="zh-CN"/>
              </w:rPr>
              <w:t>房地产估价师/1120240053</w:t>
            </w:r>
          </w:p>
        </w:tc>
      </w:tr>
    </w:tbl>
    <w:p w14:paraId="1DEB0B78">
      <w:pPr>
        <w:spacing w:line="360" w:lineRule="auto"/>
        <w:jc w:val="center"/>
        <w:rPr>
          <w:rFonts w:hint="eastAsia"/>
          <w:snapToGrid w:val="0"/>
          <w:color w:val="000000"/>
          <w:szCs w:val="21"/>
          <w:lang w:eastAsia="zh-CN"/>
        </w:rPr>
      </w:pPr>
      <w:bookmarkStart w:id="47" w:name="_Hlk11922912"/>
    </w:p>
    <w:bookmarkEnd w:id="47"/>
    <w:p w14:paraId="20D832BF">
      <w:pPr>
        <w:snapToGrid w:val="0"/>
        <w:spacing w:line="360" w:lineRule="auto"/>
        <w:rPr>
          <w:rFonts w:hint="eastAsia"/>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ABFE9">
    <w:pPr>
      <w:pStyle w:val="8"/>
      <w:rPr>
        <w:rFonts w:hint="eastAsia"/>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010145"/>
    </w:sdtPr>
    <w:sdtContent>
      <w:p w14:paraId="0A043C9A">
        <w:pPr>
          <w:pStyle w:val="8"/>
          <w:jc w:val="center"/>
          <w:rPr>
            <w:rFonts w:hint="eastAsia"/>
          </w:rPr>
        </w:pPr>
        <w:r>
          <w:fldChar w:fldCharType="begin"/>
        </w:r>
        <w:r>
          <w:instrText xml:space="preserve">PAGE   \* MERGEFORMAT</w:instrText>
        </w:r>
        <w:r>
          <w:fldChar w:fldCharType="separate"/>
        </w:r>
        <w:r>
          <w:rPr>
            <w:lang w:val="zh-CN" w:eastAsia="zh-CN"/>
          </w:rPr>
          <w:t>6</w:t>
        </w:r>
        <w:r>
          <w:fldChar w:fldCharType="end"/>
        </w:r>
      </w:p>
    </w:sdtContent>
  </w:sdt>
  <w:p w14:paraId="5F959A9D">
    <w:pPr>
      <w:pStyle w:val="8"/>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0B158F"/>
    <w:multiLevelType w:val="multilevel"/>
    <w:tmpl w:val="1C0B158F"/>
    <w:lvl w:ilvl="0" w:tentative="0">
      <w:start w:val="1"/>
      <w:numFmt w:val="decimal"/>
      <w:lvlText w:val="%1."/>
      <w:lvlJc w:val="left"/>
      <w:pPr>
        <w:tabs>
          <w:tab w:val="left" w:pos="851"/>
        </w:tabs>
        <w:ind w:left="851" w:hanging="851"/>
      </w:pPr>
      <w:rPr>
        <w:rFonts w:hint="default" w:ascii="Times New Roman" w:hAnsi="Times New Roman" w:eastAsia="楷体" w:cs="Times New Roman"/>
        <w:b/>
        <w:bCs/>
        <w:i w:val="0"/>
        <w:iCs w:val="0"/>
        <w:sz w:val="24"/>
        <w:szCs w:val="24"/>
      </w:rPr>
    </w:lvl>
    <w:lvl w:ilvl="1" w:tentative="0">
      <w:start w:val="1"/>
      <w:numFmt w:val="decimal"/>
      <w:lvlText w:val="7.1.%2"/>
      <w:lvlJc w:val="left"/>
      <w:pPr>
        <w:tabs>
          <w:tab w:val="left" w:pos="851"/>
        </w:tabs>
        <w:ind w:left="851" w:hanging="851"/>
      </w:pPr>
      <w:rPr>
        <w:rFonts w:hint="eastAsia" w:ascii="宋体" w:hAnsi="宋体" w:eastAsia="宋体"/>
        <w:b/>
        <w:bCs/>
        <w:i w:val="0"/>
        <w:iCs w:val="0"/>
        <w:caps w:val="0"/>
        <w:smallCaps w:val="0"/>
        <w:color w:val="000000"/>
        <w:spacing w:val="0"/>
        <w:sz w:val="24"/>
        <w:szCs w:val="24"/>
      </w:rPr>
    </w:lvl>
    <w:lvl w:ilvl="2" w:tentative="0">
      <w:start w:val="1"/>
      <w:numFmt w:val="lowerLetter"/>
      <w:lvlText w:val="(%3)"/>
      <w:lvlJc w:val="left"/>
      <w:pPr>
        <w:tabs>
          <w:tab w:val="left" w:pos="1700"/>
        </w:tabs>
        <w:ind w:left="1700" w:hanging="850"/>
      </w:pPr>
      <w:rPr>
        <w:rFonts w:hint="eastAsia" w:ascii="宋体" w:hAnsi="宋体" w:eastAsia="宋体"/>
      </w:rPr>
    </w:lvl>
    <w:lvl w:ilvl="3" w:tentative="0">
      <w:start w:val="1"/>
      <w:numFmt w:val="lowerRoman"/>
      <w:lvlText w:val="(%4)"/>
      <w:lvlJc w:val="left"/>
      <w:pPr>
        <w:tabs>
          <w:tab w:val="left" w:pos="2552"/>
        </w:tabs>
        <w:ind w:left="2552" w:hanging="851"/>
      </w:pPr>
      <w:rPr>
        <w:rFonts w:hint="default" w:ascii="Times New Roman" w:hAnsi="Times New Roman" w:eastAsia="楷体" w:cs="Times New Roman"/>
        <w:b w:val="0"/>
        <w:bCs w:val="0"/>
        <w:i w:val="0"/>
        <w:iCs w:val="0"/>
        <w:sz w:val="24"/>
        <w:szCs w:val="24"/>
      </w:rPr>
    </w:lvl>
    <w:lvl w:ilvl="4" w:tentative="0">
      <w:start w:val="1"/>
      <w:numFmt w:val="lowerRoman"/>
      <w:lvlText w:val="%5."/>
      <w:lvlJc w:val="right"/>
      <w:pPr>
        <w:ind w:left="3032" w:hanging="48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1">
    <w:nsid w:val="3F2D65D7"/>
    <w:multiLevelType w:val="multilevel"/>
    <w:tmpl w:val="3F2D65D7"/>
    <w:lvl w:ilvl="0" w:tentative="0">
      <w:start w:val="1"/>
      <w:numFmt w:val="decimal"/>
      <w:lvlText w:val="%1."/>
      <w:lvlJc w:val="left"/>
      <w:pPr>
        <w:tabs>
          <w:tab w:val="left" w:pos="851"/>
        </w:tabs>
        <w:ind w:left="851" w:hanging="851"/>
      </w:pPr>
      <w:rPr>
        <w:rFonts w:hint="default" w:ascii="Times New Roman" w:hAnsi="Times New Roman" w:eastAsia="楷体" w:cs="Times New Roman"/>
        <w:b/>
        <w:bCs/>
        <w:i w:val="0"/>
        <w:iCs w:val="0"/>
        <w:sz w:val="24"/>
        <w:szCs w:val="24"/>
      </w:rPr>
    </w:lvl>
    <w:lvl w:ilvl="1" w:tentative="0">
      <w:start w:val="1"/>
      <w:numFmt w:val="decimal"/>
      <w:lvlText w:val="%1.%2"/>
      <w:lvlJc w:val="left"/>
      <w:pPr>
        <w:tabs>
          <w:tab w:val="left" w:pos="851"/>
        </w:tabs>
        <w:ind w:left="851" w:hanging="851"/>
      </w:pPr>
      <w:rPr>
        <w:rFonts w:hint="default" w:ascii="Times New Roman" w:hAnsi="Times New Roman" w:eastAsia="楷体" w:cs="Times New Roman"/>
        <w:b w:val="0"/>
        <w:bCs w:val="0"/>
        <w:i w:val="0"/>
        <w:iCs w:val="0"/>
        <w:caps w:val="0"/>
        <w:smallCaps w:val="0"/>
        <w:color w:val="000000"/>
        <w:spacing w:val="0"/>
        <w:sz w:val="24"/>
        <w:szCs w:val="24"/>
      </w:rPr>
    </w:lvl>
    <w:lvl w:ilvl="2" w:tentative="0">
      <w:start w:val="1"/>
      <w:numFmt w:val="lowerLetter"/>
      <w:lvlText w:val="(%3)"/>
      <w:lvlJc w:val="left"/>
      <w:pPr>
        <w:tabs>
          <w:tab w:val="left" w:pos="1276"/>
        </w:tabs>
        <w:ind w:left="1276" w:hanging="850"/>
      </w:pPr>
      <w:rPr>
        <w:rFonts w:hint="eastAsia" w:ascii="宋体" w:hAnsi="宋体" w:eastAsia="宋体"/>
      </w:rPr>
    </w:lvl>
    <w:lvl w:ilvl="3" w:tentative="0">
      <w:start w:val="1"/>
      <w:numFmt w:val="lowerRoman"/>
      <w:lvlText w:val="(%4)"/>
      <w:lvlJc w:val="left"/>
      <w:pPr>
        <w:tabs>
          <w:tab w:val="left" w:pos="2552"/>
        </w:tabs>
        <w:ind w:left="2552" w:hanging="851"/>
      </w:pPr>
      <w:rPr>
        <w:rFonts w:hint="default" w:ascii="Times New Roman" w:hAnsi="Times New Roman" w:eastAsia="楷体" w:cs="Times New Roman"/>
        <w:b w:val="0"/>
        <w:bCs w:val="0"/>
        <w:i w:val="0"/>
        <w:iCs w:val="0"/>
        <w:sz w:val="24"/>
        <w:szCs w:val="24"/>
      </w:rPr>
    </w:lvl>
    <w:lvl w:ilvl="4" w:tentative="0">
      <w:start w:val="1"/>
      <w:numFmt w:val="lowerRoman"/>
      <w:lvlText w:val="%5."/>
      <w:lvlJc w:val="right"/>
      <w:pPr>
        <w:ind w:left="3032" w:hanging="48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OGE4YmExYjU0YTYwMjNkY2ZmZDJjOTRjNmIyMzQifQ=="/>
  </w:docVars>
  <w:rsids>
    <w:rsidRoot w:val="78BC61D1"/>
    <w:rsid w:val="000E5761"/>
    <w:rsid w:val="00105CFC"/>
    <w:rsid w:val="003F527A"/>
    <w:rsid w:val="004A7EFA"/>
    <w:rsid w:val="004E48E4"/>
    <w:rsid w:val="004F62F4"/>
    <w:rsid w:val="005B0C47"/>
    <w:rsid w:val="005E0524"/>
    <w:rsid w:val="00632B37"/>
    <w:rsid w:val="006A0E60"/>
    <w:rsid w:val="006A47FF"/>
    <w:rsid w:val="006A4DCE"/>
    <w:rsid w:val="006F4215"/>
    <w:rsid w:val="007A605D"/>
    <w:rsid w:val="008A1279"/>
    <w:rsid w:val="008B0C16"/>
    <w:rsid w:val="008F7BEA"/>
    <w:rsid w:val="00907290"/>
    <w:rsid w:val="009154DC"/>
    <w:rsid w:val="009813EC"/>
    <w:rsid w:val="009932CE"/>
    <w:rsid w:val="009F5B33"/>
    <w:rsid w:val="00A01900"/>
    <w:rsid w:val="00A4481B"/>
    <w:rsid w:val="00AA771F"/>
    <w:rsid w:val="00AC1C4C"/>
    <w:rsid w:val="00AD3FB5"/>
    <w:rsid w:val="00B06EE6"/>
    <w:rsid w:val="00B30925"/>
    <w:rsid w:val="00BC1D69"/>
    <w:rsid w:val="00BC5294"/>
    <w:rsid w:val="00C16FA0"/>
    <w:rsid w:val="00C4399E"/>
    <w:rsid w:val="00C56E3A"/>
    <w:rsid w:val="00C63FA7"/>
    <w:rsid w:val="00CB32FC"/>
    <w:rsid w:val="00CB4A7E"/>
    <w:rsid w:val="00D32D72"/>
    <w:rsid w:val="00D6178C"/>
    <w:rsid w:val="00D9376A"/>
    <w:rsid w:val="00DB0CCF"/>
    <w:rsid w:val="00E1537D"/>
    <w:rsid w:val="00E257DA"/>
    <w:rsid w:val="00E43F2E"/>
    <w:rsid w:val="00E6438A"/>
    <w:rsid w:val="00F06563"/>
    <w:rsid w:val="00F87CA2"/>
    <w:rsid w:val="00FA10B5"/>
    <w:rsid w:val="00FA6033"/>
    <w:rsid w:val="023F76C1"/>
    <w:rsid w:val="044F20B0"/>
    <w:rsid w:val="048E3397"/>
    <w:rsid w:val="052B107A"/>
    <w:rsid w:val="06975A49"/>
    <w:rsid w:val="07C136C9"/>
    <w:rsid w:val="0C1D35A8"/>
    <w:rsid w:val="0CE44271"/>
    <w:rsid w:val="0F620C31"/>
    <w:rsid w:val="0FD650F9"/>
    <w:rsid w:val="16034FB2"/>
    <w:rsid w:val="16475FDC"/>
    <w:rsid w:val="183F54B8"/>
    <w:rsid w:val="18602572"/>
    <w:rsid w:val="18EF5EF8"/>
    <w:rsid w:val="1A1022BD"/>
    <w:rsid w:val="1A660208"/>
    <w:rsid w:val="1BD91270"/>
    <w:rsid w:val="1BF71E73"/>
    <w:rsid w:val="1C4D1009"/>
    <w:rsid w:val="1C5E227A"/>
    <w:rsid w:val="1E0D6AB2"/>
    <w:rsid w:val="1EC2624D"/>
    <w:rsid w:val="1FBD45F2"/>
    <w:rsid w:val="1FD424D1"/>
    <w:rsid w:val="20294025"/>
    <w:rsid w:val="20F13EB2"/>
    <w:rsid w:val="21DC58C2"/>
    <w:rsid w:val="222B5A2E"/>
    <w:rsid w:val="227E1CE9"/>
    <w:rsid w:val="22835E8C"/>
    <w:rsid w:val="25FE20CC"/>
    <w:rsid w:val="26855C1A"/>
    <w:rsid w:val="26CB79A1"/>
    <w:rsid w:val="26E3787C"/>
    <w:rsid w:val="28684E00"/>
    <w:rsid w:val="28D72103"/>
    <w:rsid w:val="2A4C5BAB"/>
    <w:rsid w:val="2AFC225A"/>
    <w:rsid w:val="2CA721CF"/>
    <w:rsid w:val="2EB01794"/>
    <w:rsid w:val="2ECE5946"/>
    <w:rsid w:val="2F6E407D"/>
    <w:rsid w:val="2F7049C5"/>
    <w:rsid w:val="30611453"/>
    <w:rsid w:val="30F30C4E"/>
    <w:rsid w:val="31687279"/>
    <w:rsid w:val="31AC055D"/>
    <w:rsid w:val="3220094A"/>
    <w:rsid w:val="336C53C8"/>
    <w:rsid w:val="33CA2294"/>
    <w:rsid w:val="35497FCB"/>
    <w:rsid w:val="35AC60DD"/>
    <w:rsid w:val="35BC1CF7"/>
    <w:rsid w:val="35CD724A"/>
    <w:rsid w:val="35E9227A"/>
    <w:rsid w:val="3934551F"/>
    <w:rsid w:val="3B836C82"/>
    <w:rsid w:val="3E7C50D4"/>
    <w:rsid w:val="3F6250CB"/>
    <w:rsid w:val="3FB92D3F"/>
    <w:rsid w:val="3FC91CA6"/>
    <w:rsid w:val="3FDA341D"/>
    <w:rsid w:val="40302646"/>
    <w:rsid w:val="42BB5495"/>
    <w:rsid w:val="43792D52"/>
    <w:rsid w:val="44953428"/>
    <w:rsid w:val="455971EB"/>
    <w:rsid w:val="45627FF4"/>
    <w:rsid w:val="46D24A6D"/>
    <w:rsid w:val="46D8458D"/>
    <w:rsid w:val="46EF4C3C"/>
    <w:rsid w:val="47405A95"/>
    <w:rsid w:val="480C28A2"/>
    <w:rsid w:val="487B702C"/>
    <w:rsid w:val="48DE272F"/>
    <w:rsid w:val="4B2B590F"/>
    <w:rsid w:val="4B925222"/>
    <w:rsid w:val="4D480739"/>
    <w:rsid w:val="4DAE6C31"/>
    <w:rsid w:val="4E076FD9"/>
    <w:rsid w:val="4E0B67E8"/>
    <w:rsid w:val="4E81067D"/>
    <w:rsid w:val="4E9D3E2E"/>
    <w:rsid w:val="4EB2574E"/>
    <w:rsid w:val="4FD379C9"/>
    <w:rsid w:val="51055644"/>
    <w:rsid w:val="516E1EBE"/>
    <w:rsid w:val="522D3C2A"/>
    <w:rsid w:val="52DA5330"/>
    <w:rsid w:val="53077BE9"/>
    <w:rsid w:val="54B22AD2"/>
    <w:rsid w:val="555E25C6"/>
    <w:rsid w:val="55F25927"/>
    <w:rsid w:val="55F651DF"/>
    <w:rsid w:val="56870CCF"/>
    <w:rsid w:val="57411BF6"/>
    <w:rsid w:val="588803A8"/>
    <w:rsid w:val="588D4680"/>
    <w:rsid w:val="5B1251F7"/>
    <w:rsid w:val="5B7B7F51"/>
    <w:rsid w:val="5D080A70"/>
    <w:rsid w:val="5D2542E6"/>
    <w:rsid w:val="5E0217F4"/>
    <w:rsid w:val="5E19590C"/>
    <w:rsid w:val="5EAC40DB"/>
    <w:rsid w:val="60AF0C99"/>
    <w:rsid w:val="61CD2F80"/>
    <w:rsid w:val="624729CF"/>
    <w:rsid w:val="6250558F"/>
    <w:rsid w:val="63900144"/>
    <w:rsid w:val="64F96977"/>
    <w:rsid w:val="653658FA"/>
    <w:rsid w:val="655375C0"/>
    <w:rsid w:val="65905D8D"/>
    <w:rsid w:val="66B1661E"/>
    <w:rsid w:val="66E000AE"/>
    <w:rsid w:val="671E7F23"/>
    <w:rsid w:val="67365B9C"/>
    <w:rsid w:val="67BB0A4A"/>
    <w:rsid w:val="68E91547"/>
    <w:rsid w:val="68F9611D"/>
    <w:rsid w:val="69096A17"/>
    <w:rsid w:val="6A2D0C07"/>
    <w:rsid w:val="6D08031A"/>
    <w:rsid w:val="6E4773D7"/>
    <w:rsid w:val="704B25B7"/>
    <w:rsid w:val="70E529C8"/>
    <w:rsid w:val="711C0ED3"/>
    <w:rsid w:val="717A1AD0"/>
    <w:rsid w:val="721D757D"/>
    <w:rsid w:val="72941060"/>
    <w:rsid w:val="74EC45FF"/>
    <w:rsid w:val="754156A1"/>
    <w:rsid w:val="758C20F6"/>
    <w:rsid w:val="765851C9"/>
    <w:rsid w:val="78946741"/>
    <w:rsid w:val="78BC61D1"/>
    <w:rsid w:val="79786E7E"/>
    <w:rsid w:val="7A482594"/>
    <w:rsid w:val="7B94073D"/>
    <w:rsid w:val="7C8A7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9"/>
    <w:pPr>
      <w:keepNext/>
      <w:keepLines/>
      <w:spacing w:before="480" w:after="80" w:line="278" w:lineRule="auto"/>
      <w:outlineLvl w:val="0"/>
    </w:pPr>
    <w:rPr>
      <w:rFonts w:asciiTheme="majorHAnsi" w:hAnsiTheme="majorHAnsi" w:eastAsiaTheme="majorEastAsia" w:cstheme="majorBidi"/>
      <w:color w:val="2E75B6" w:themeColor="accent1" w:themeShade="BF"/>
      <w:kern w:val="2"/>
      <w:sz w:val="48"/>
      <w:szCs w:val="48"/>
      <w14:ligatures w14:val="standardContextual"/>
    </w:rPr>
  </w:style>
  <w:style w:type="paragraph" w:styleId="3">
    <w:name w:val="heading 3"/>
    <w:basedOn w:val="1"/>
    <w:next w:val="4"/>
    <w:qFormat/>
    <w:uiPriority w:val="0"/>
    <w:pPr>
      <w:keepNext/>
      <w:keepLines/>
      <w:adjustRightInd w:val="0"/>
      <w:spacing w:before="360" w:after="120"/>
      <w:outlineLvl w:val="2"/>
    </w:pPr>
    <w:rPr>
      <w:rFonts w:hAnsi="Times New Roman" w:cs="Times New Roman"/>
      <w:b/>
      <w:sz w:val="24"/>
      <w:szCs w:val="20"/>
      <w:lang w:eastAsia="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annotation text"/>
    <w:basedOn w:val="1"/>
    <w:link w:val="26"/>
    <w:qFormat/>
    <w:uiPriority w:val="0"/>
  </w:style>
  <w:style w:type="paragraph" w:styleId="6">
    <w:name w:val="Body Text"/>
    <w:basedOn w:val="1"/>
    <w:qFormat/>
    <w:uiPriority w:val="1"/>
    <w:rPr>
      <w:sz w:val="24"/>
      <w:szCs w:val="24"/>
    </w:rPr>
  </w:style>
  <w:style w:type="paragraph" w:styleId="7">
    <w:name w:val="Balloon Text"/>
    <w:basedOn w:val="1"/>
    <w:link w:val="25"/>
    <w:qFormat/>
    <w:uiPriority w:val="0"/>
    <w:rPr>
      <w:sz w:val="18"/>
      <w:szCs w:val="18"/>
    </w:rPr>
  </w:style>
  <w:style w:type="paragraph" w:styleId="8">
    <w:name w:val="footer"/>
    <w:basedOn w:val="1"/>
    <w:link w:val="23"/>
    <w:qFormat/>
    <w:uiPriority w:val="99"/>
    <w:pPr>
      <w:tabs>
        <w:tab w:val="center" w:pos="4153"/>
        <w:tab w:val="right" w:pos="8306"/>
      </w:tabs>
      <w:snapToGrid w:val="0"/>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Title"/>
    <w:basedOn w:val="1"/>
    <w:next w:val="1"/>
    <w:qFormat/>
    <w:uiPriority w:val="99"/>
    <w:pPr>
      <w:autoSpaceDE/>
      <w:autoSpaceDN/>
      <w:spacing w:beforeLines="50" w:afterLines="50" w:line="360" w:lineRule="auto"/>
      <w:jc w:val="center"/>
      <w:outlineLvl w:val="0"/>
    </w:pPr>
    <w:rPr>
      <w:rFonts w:ascii="Cambria" w:hAnsi="Cambria" w:eastAsiaTheme="minorEastAsia" w:cstheme="minorBidi"/>
      <w:b/>
      <w:bCs/>
      <w:kern w:val="2"/>
      <w:sz w:val="32"/>
      <w:szCs w:val="32"/>
    </w:rPr>
  </w:style>
  <w:style w:type="paragraph" w:styleId="12">
    <w:name w:val="annotation subject"/>
    <w:basedOn w:val="5"/>
    <w:next w:val="5"/>
    <w:link w:val="27"/>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qFormat/>
    <w:uiPriority w:val="0"/>
    <w:rPr>
      <w:sz w:val="21"/>
      <w:szCs w:val="21"/>
    </w:rPr>
  </w:style>
  <w:style w:type="paragraph" w:customStyle="1" w:styleId="18">
    <w:name w:val="-正文1.1"/>
    <w:basedOn w:val="1"/>
    <w:qFormat/>
    <w:uiPriority w:val="0"/>
    <w:pPr>
      <w:widowControl/>
      <w:autoSpaceDE/>
      <w:autoSpaceDN/>
      <w:spacing w:before="100" w:beforeAutospacing="1" w:after="240"/>
      <w:jc w:val="both"/>
    </w:pPr>
    <w:rPr>
      <w:rFonts w:ascii="仿宋" w:hAnsi="仿宋" w:eastAsia="楷体" w:cs="Times New Roman"/>
      <w:kern w:val="2"/>
      <w:sz w:val="24"/>
      <w:szCs w:val="24"/>
      <w:lang w:eastAsia="zh-CN"/>
    </w:rPr>
  </w:style>
  <w:style w:type="paragraph" w:customStyle="1" w:styleId="19">
    <w:name w:val="B"/>
    <w:basedOn w:val="11"/>
    <w:qFormat/>
    <w:uiPriority w:val="0"/>
    <w:pPr>
      <w:widowControl/>
      <w:tabs>
        <w:tab w:val="left" w:pos="851"/>
      </w:tabs>
      <w:spacing w:beforeLines="0" w:after="240" w:afterLines="0" w:line="240" w:lineRule="auto"/>
      <w:ind w:left="851" w:hanging="851"/>
      <w:jc w:val="left"/>
      <w:outlineLvl w:val="1"/>
    </w:pPr>
    <w:rPr>
      <w:rFonts w:ascii="仿宋" w:hAnsi="仿宋" w:eastAsia="楷体" w:cs="Times New Roman"/>
      <w:b w:val="0"/>
      <w:sz w:val="24"/>
      <w:lang w:eastAsia="zh-CN"/>
    </w:rPr>
  </w:style>
  <w:style w:type="paragraph" w:customStyle="1" w:styleId="20">
    <w:name w:val="C"/>
    <w:basedOn w:val="1"/>
    <w:qFormat/>
    <w:uiPriority w:val="0"/>
    <w:pPr>
      <w:widowControl/>
      <w:tabs>
        <w:tab w:val="left" w:pos="1700"/>
      </w:tabs>
      <w:autoSpaceDE/>
      <w:autoSpaceDN/>
      <w:spacing w:after="240"/>
      <w:ind w:left="1700" w:hanging="850"/>
      <w:jc w:val="both"/>
    </w:pPr>
    <w:rPr>
      <w:rFonts w:ascii="仿宋" w:hAnsi="仿宋" w:eastAsia="楷体" w:cs="Times New Roman"/>
      <w:kern w:val="2"/>
      <w:sz w:val="24"/>
      <w:szCs w:val="24"/>
      <w:lang w:eastAsia="zh-CN"/>
    </w:rPr>
  </w:style>
  <w:style w:type="paragraph" w:customStyle="1" w:styleId="21">
    <w:name w:val="A-"/>
    <w:basedOn w:val="1"/>
    <w:qFormat/>
    <w:uiPriority w:val="0"/>
    <w:pPr>
      <w:widowControl/>
      <w:autoSpaceDE/>
      <w:autoSpaceDN/>
      <w:spacing w:before="100" w:beforeAutospacing="1" w:after="240"/>
      <w:ind w:left="851"/>
      <w:jc w:val="both"/>
    </w:pPr>
    <w:rPr>
      <w:rFonts w:ascii="仿宋" w:hAnsi="仿宋" w:eastAsia="楷体" w:cs="Times New Roman"/>
      <w:kern w:val="2"/>
      <w:sz w:val="24"/>
      <w:szCs w:val="24"/>
      <w:lang w:eastAsia="zh-CN"/>
    </w:rPr>
  </w:style>
  <w:style w:type="character" w:customStyle="1" w:styleId="22">
    <w:name w:val="页眉 字符"/>
    <w:basedOn w:val="15"/>
    <w:link w:val="9"/>
    <w:qFormat/>
    <w:uiPriority w:val="0"/>
    <w:rPr>
      <w:rFonts w:ascii="宋体" w:hAnsi="宋体" w:cs="宋体"/>
      <w:sz w:val="18"/>
      <w:szCs w:val="18"/>
      <w:lang w:eastAsia="en-US"/>
    </w:rPr>
  </w:style>
  <w:style w:type="character" w:customStyle="1" w:styleId="23">
    <w:name w:val="页脚 字符"/>
    <w:basedOn w:val="15"/>
    <w:link w:val="8"/>
    <w:qFormat/>
    <w:uiPriority w:val="99"/>
    <w:rPr>
      <w:rFonts w:ascii="宋体" w:hAnsi="宋体" w:cs="宋体"/>
      <w:sz w:val="18"/>
      <w:szCs w:val="18"/>
      <w:lang w:eastAsia="en-US"/>
    </w:rPr>
  </w:style>
  <w:style w:type="paragraph" w:customStyle="1" w:styleId="24">
    <w:name w:val="Table Paragraph"/>
    <w:basedOn w:val="1"/>
    <w:qFormat/>
    <w:uiPriority w:val="1"/>
  </w:style>
  <w:style w:type="character" w:customStyle="1" w:styleId="25">
    <w:name w:val="批注框文本 字符"/>
    <w:basedOn w:val="15"/>
    <w:link w:val="7"/>
    <w:qFormat/>
    <w:uiPriority w:val="0"/>
    <w:rPr>
      <w:rFonts w:ascii="宋体" w:hAnsi="宋体" w:eastAsia="宋体" w:cs="宋体"/>
      <w:sz w:val="18"/>
      <w:szCs w:val="18"/>
      <w:lang w:eastAsia="en-US"/>
    </w:rPr>
  </w:style>
  <w:style w:type="character" w:customStyle="1" w:styleId="26">
    <w:name w:val="批注文字 字符"/>
    <w:basedOn w:val="15"/>
    <w:link w:val="5"/>
    <w:qFormat/>
    <w:uiPriority w:val="0"/>
    <w:rPr>
      <w:rFonts w:ascii="宋体" w:hAnsi="宋体" w:cs="宋体"/>
      <w:sz w:val="22"/>
      <w:szCs w:val="22"/>
      <w:lang w:eastAsia="en-US"/>
    </w:rPr>
  </w:style>
  <w:style w:type="character" w:customStyle="1" w:styleId="27">
    <w:name w:val="批注主题 字符"/>
    <w:basedOn w:val="26"/>
    <w:link w:val="12"/>
    <w:qFormat/>
    <w:uiPriority w:val="0"/>
    <w:rPr>
      <w:rFonts w:ascii="宋体" w:hAnsi="宋体" w:cs="宋体"/>
      <w:b/>
      <w:bCs/>
      <w:sz w:val="22"/>
      <w:szCs w:val="22"/>
      <w:lang w:eastAsia="en-US"/>
    </w:rPr>
  </w:style>
  <w:style w:type="paragraph" w:customStyle="1" w:styleId="28">
    <w:name w:val="修订1"/>
    <w:hidden/>
    <w:unhideWhenUsed/>
    <w:qFormat/>
    <w:uiPriority w:val="99"/>
    <w:rPr>
      <w:rFonts w:ascii="宋体" w:hAnsi="宋体" w:eastAsia="宋体" w:cs="宋体"/>
      <w:sz w:val="22"/>
      <w:szCs w:val="22"/>
      <w:lang w:val="en-US" w:eastAsia="en-US" w:bidi="ar-SA"/>
    </w:rPr>
  </w:style>
  <w:style w:type="paragraph" w:customStyle="1" w:styleId="29">
    <w:name w:val="Revision"/>
    <w:hidden/>
    <w:unhideWhenUsed/>
    <w:qFormat/>
    <w:uiPriority w:val="99"/>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6272</Words>
  <Characters>6817</Characters>
  <Lines>59</Lines>
  <Paragraphs>16</Paragraphs>
  <TotalTime>24</TotalTime>
  <ScaleCrop>false</ScaleCrop>
  <LinksUpToDate>false</LinksUpToDate>
  <CharactersWithSpaces>7227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2025-11-18T02:29:00Z</dcterms:created>
  <dc:creator>YJL</dc:creator>
  <cp:lastModifiedBy>诗霖</cp:lastModifiedBy>
  <cp:lastPrinted>2020-02-27T01:16:00Z</cp:lastPrinted>
  <dcterms:modified xsi:type="dcterms:W3CDTF">2025-12-18T03:03:33Z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A7946E4569FC481C93AEF13DC95E4798_13</vt:lpwstr>
  </property>
  <property fmtid="{D5CDD505-2E9C-101B-9397-08002B2CF9AE}" pid="4" name="KSOTemplateDocerSaveRecord">
    <vt:lpwstr>eyJoZGlkIjoiOWIyZTQyMGU3NzM5ZDNjNTAxMjY4MTIxNjQ5OWU4YmYiLCJ1c2VySWQiOiI0MTU3NTg1NDcifQ==</vt:lpwstr>
  </property>
</Properties>
</file>